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华文中宋" w:hAnsi="华文中宋" w:eastAsia="华文中宋" w:cs="华文细黑"/>
          <w:b/>
          <w:bCs/>
          <w:sz w:val="30"/>
          <w:szCs w:val="30"/>
          <w:lang w:val="en-US" w:eastAsia="zh-CN"/>
        </w:rPr>
      </w:pPr>
      <w:r>
        <w:rPr>
          <w:rFonts w:hint="eastAsia" w:ascii="华文中宋" w:hAnsi="华文中宋" w:eastAsia="华文中宋" w:cs="华文细黑"/>
          <w:b/>
          <w:bCs/>
          <w:sz w:val="30"/>
          <w:szCs w:val="30"/>
        </w:rPr>
        <w:t>附件</w:t>
      </w:r>
      <w:r>
        <w:rPr>
          <w:rFonts w:hint="eastAsia" w:ascii="华文中宋" w:hAnsi="华文中宋" w:eastAsia="华文中宋" w:cs="华文细黑"/>
          <w:b/>
          <w:bCs/>
          <w:sz w:val="30"/>
          <w:szCs w:val="30"/>
          <w:lang w:val="en-US" w:eastAsia="zh-CN"/>
        </w:rPr>
        <w:t>3</w:t>
      </w:r>
      <w:r>
        <w:rPr>
          <w:rFonts w:hint="eastAsia" w:ascii="华文中宋" w:hAnsi="华文中宋" w:eastAsia="华文中宋" w:cs="华文细黑"/>
          <w:b/>
          <w:bCs/>
          <w:sz w:val="30"/>
          <w:szCs w:val="30"/>
        </w:rPr>
        <w:t>：中兴华东产业集团工程管理</w:t>
      </w:r>
      <w:r>
        <w:rPr>
          <w:rFonts w:hint="eastAsia" w:ascii="华文中宋" w:hAnsi="华文中宋" w:eastAsia="华文中宋" w:cs="华文细黑"/>
          <w:b/>
          <w:bCs/>
          <w:sz w:val="30"/>
          <w:szCs w:val="30"/>
          <w:lang w:val="en-US" w:eastAsia="zh-CN"/>
        </w:rPr>
        <w:t>工程 “一二类”问题项</w:t>
      </w:r>
    </w:p>
    <w:p>
      <w:pPr>
        <w:spacing w:line="360" w:lineRule="auto"/>
        <w:jc w:val="center"/>
        <w:rPr>
          <w:rFonts w:hint="eastAsia" w:ascii="华文中宋" w:hAnsi="华文中宋" w:eastAsia="华文中宋" w:cs="华文细黑"/>
          <w:b/>
          <w:bCs/>
          <w:sz w:val="24"/>
        </w:rPr>
      </w:pPr>
      <w:r>
        <w:rPr>
          <w:rFonts w:hint="eastAsia" w:ascii="华文中宋" w:hAnsi="华文中宋" w:eastAsia="华文中宋" w:cs="华文细黑"/>
          <w:b/>
          <w:bCs/>
          <w:sz w:val="24"/>
        </w:rPr>
        <w:t>（2</w:t>
      </w:r>
      <w:r>
        <w:rPr>
          <w:rFonts w:ascii="华文中宋" w:hAnsi="华文中宋" w:eastAsia="华文中宋" w:cs="华文细黑"/>
          <w:b/>
          <w:bCs/>
          <w:sz w:val="24"/>
        </w:rPr>
        <w:t>0</w:t>
      </w:r>
      <w:r>
        <w:rPr>
          <w:rFonts w:hint="eastAsia" w:ascii="华文中宋" w:hAnsi="华文中宋" w:eastAsia="华文中宋" w:cs="华文细黑"/>
          <w:b/>
          <w:bCs/>
          <w:sz w:val="24"/>
          <w:lang w:val="en-US" w:eastAsia="zh-CN"/>
        </w:rPr>
        <w:t>20</w:t>
      </w:r>
      <w:r>
        <w:rPr>
          <w:rFonts w:hint="eastAsia" w:ascii="华文中宋" w:hAnsi="华文中宋" w:eastAsia="华文中宋" w:cs="华文细黑"/>
          <w:b/>
          <w:bCs/>
          <w:sz w:val="24"/>
        </w:rPr>
        <w:t>年</w:t>
      </w:r>
      <w:r>
        <w:rPr>
          <w:rFonts w:hint="eastAsia" w:ascii="华文中宋" w:hAnsi="华文中宋" w:eastAsia="华文中宋" w:cs="华文细黑"/>
          <w:b/>
          <w:bCs/>
          <w:sz w:val="24"/>
          <w:lang w:val="en-US" w:eastAsia="zh-CN"/>
        </w:rPr>
        <w:t>1</w:t>
      </w:r>
      <w:r>
        <w:rPr>
          <w:rFonts w:hint="eastAsia" w:ascii="华文中宋" w:hAnsi="华文中宋" w:eastAsia="华文中宋" w:cs="华文细黑"/>
          <w:b/>
          <w:bCs/>
          <w:sz w:val="24"/>
        </w:rPr>
        <w:t>月修订）</w:t>
      </w:r>
    </w:p>
    <w:p>
      <w:pPr>
        <w:spacing w:line="360" w:lineRule="auto"/>
        <w:jc w:val="center"/>
        <w:rPr>
          <w:rFonts w:hint="eastAsia" w:ascii="华文中宋" w:hAnsi="华文中宋" w:eastAsia="华文中宋" w:cs="华文细黑"/>
          <w:b/>
          <w:bCs/>
          <w:sz w:val="24"/>
        </w:rPr>
      </w:pPr>
    </w:p>
    <w:p>
      <w:pPr>
        <w:spacing w:line="360" w:lineRule="auto"/>
        <w:ind w:firstLine="480" w:firstLineChars="200"/>
        <w:rPr>
          <w:rFonts w:hint="eastAsia" w:ascii="华文中宋" w:hAnsi="华文中宋" w:eastAsia="华文中宋" w:cs="华文细黑"/>
          <w:b/>
          <w:bCs/>
          <w:sz w:val="24"/>
        </w:rPr>
      </w:pPr>
      <w:r>
        <w:rPr>
          <w:rFonts w:hint="eastAsia" w:ascii="华文中宋" w:hAnsi="华文中宋" w:eastAsia="华文中宋" w:cs="华文细黑"/>
          <w:sz w:val="24"/>
        </w:rPr>
        <w:t>一</w:t>
      </w:r>
      <w:r>
        <w:rPr>
          <w:rFonts w:hint="eastAsia" w:ascii="华文中宋" w:hAnsi="华文中宋" w:eastAsia="华文中宋" w:cs="华文细黑"/>
          <w:b/>
          <w:bCs/>
          <w:sz w:val="24"/>
        </w:rPr>
        <w:t>、</w:t>
      </w:r>
      <w:r>
        <w:rPr>
          <w:rFonts w:hint="eastAsia" w:ascii="华文中宋" w:hAnsi="华文中宋" w:eastAsia="华文中宋" w:cs="华文细黑"/>
          <w:b/>
          <w:bCs/>
          <w:sz w:val="24"/>
          <w:lang w:val="en-US" w:eastAsia="zh-CN"/>
        </w:rPr>
        <w:t>安全文明一类问题项</w:t>
      </w:r>
    </w:p>
    <w:tbl>
      <w:tblPr>
        <w:tblStyle w:val="6"/>
        <w:tblpPr w:leftFromText="180" w:rightFromText="180" w:vertAnchor="text" w:horzAnchor="page" w:tblpX="1288" w:tblpY="441"/>
        <w:tblOverlap w:val="never"/>
        <w:tblW w:w="95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3"/>
        <w:gridCol w:w="1566"/>
        <w:gridCol w:w="5158"/>
        <w:gridCol w:w="1428"/>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03" w:type="dxa"/>
            <w:vAlign w:val="center"/>
          </w:tcPr>
          <w:p>
            <w:pPr>
              <w:spacing w:line="36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t>序 号</w:t>
            </w:r>
          </w:p>
        </w:tc>
        <w:tc>
          <w:tcPr>
            <w:tcW w:w="1566" w:type="dxa"/>
            <w:vAlign w:val="center"/>
          </w:tcPr>
          <w:p>
            <w:pPr>
              <w:spacing w:line="36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t>问题类别</w:t>
            </w:r>
          </w:p>
        </w:tc>
        <w:tc>
          <w:tcPr>
            <w:tcW w:w="5158" w:type="dxa"/>
            <w:vAlign w:val="center"/>
          </w:tcPr>
          <w:p>
            <w:pPr>
              <w:spacing w:line="36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t>问题列举</w:t>
            </w:r>
          </w:p>
        </w:tc>
        <w:tc>
          <w:tcPr>
            <w:tcW w:w="1428" w:type="dxa"/>
            <w:vAlign w:val="center"/>
          </w:tcPr>
          <w:p>
            <w:pPr>
              <w:spacing w:line="36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t>罚款金额（元）</w:t>
            </w:r>
          </w:p>
        </w:tc>
        <w:tc>
          <w:tcPr>
            <w:tcW w:w="788" w:type="dxa"/>
            <w:vAlign w:val="center"/>
          </w:tcPr>
          <w:p>
            <w:pPr>
              <w:spacing w:line="36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t>红牌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4" w:hRule="atLeast"/>
        </w:trPr>
        <w:tc>
          <w:tcPr>
            <w:tcW w:w="603" w:type="dxa"/>
            <w:vAlign w:val="center"/>
          </w:tcPr>
          <w:p>
            <w:pPr>
              <w:numPr>
                <w:ilvl w:val="0"/>
                <w:numId w:val="0"/>
              </w:numPr>
              <w:spacing w:line="360" w:lineRule="auto"/>
              <w:ind w:leftChars="0"/>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1</w:t>
            </w:r>
          </w:p>
        </w:tc>
        <w:tc>
          <w:tcPr>
            <w:tcW w:w="1566" w:type="dxa"/>
            <w:vAlign w:val="center"/>
          </w:tcPr>
          <w:p>
            <w:pPr>
              <w:spacing w:line="36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t>超危大工程</w:t>
            </w:r>
          </w:p>
        </w:tc>
        <w:tc>
          <w:tcPr>
            <w:tcW w:w="5158" w:type="dxa"/>
            <w:vAlign w:val="center"/>
          </w:tcPr>
          <w:p>
            <w:pPr>
              <w:numPr>
                <w:ilvl w:val="0"/>
                <w:numId w:val="0"/>
              </w:numPr>
              <w:spacing w:line="240" w:lineRule="auto"/>
              <w:jc w:val="left"/>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1.超过一定规模的分部分项工程</w:t>
            </w:r>
            <w:r>
              <w:rPr>
                <w:rFonts w:hint="eastAsia" w:ascii="楷体" w:hAnsi="楷体" w:eastAsia="楷体" w:cs="楷体"/>
                <w:b w:val="0"/>
                <w:bCs w:val="0"/>
                <w:color w:val="000000" w:themeColor="text1"/>
                <w:sz w:val="24"/>
                <w:szCs w:val="24"/>
                <w:vertAlign w:val="baseline"/>
                <w14:textFill>
                  <w14:solidFill>
                    <w14:schemeClr w14:val="tx1"/>
                  </w14:solidFill>
                </w14:textFill>
              </w:rPr>
              <w:t>无</w:t>
            </w: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专项</w:t>
            </w:r>
            <w:r>
              <w:rPr>
                <w:rFonts w:hint="eastAsia" w:ascii="楷体" w:hAnsi="楷体" w:eastAsia="楷体" w:cs="楷体"/>
                <w:b w:val="0"/>
                <w:bCs w:val="0"/>
                <w:color w:val="000000" w:themeColor="text1"/>
                <w:sz w:val="24"/>
                <w:szCs w:val="24"/>
                <w:vertAlign w:val="baseline"/>
                <w14:textFill>
                  <w14:solidFill>
                    <w14:schemeClr w14:val="tx1"/>
                  </w14:solidFill>
                </w14:textFill>
              </w:rPr>
              <w:t>方案或</w:t>
            </w: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专项施工方案未进行专家论证，或者论证后未按照专家评审意见进行方案调整；</w:t>
            </w:r>
          </w:p>
          <w:p>
            <w:pPr>
              <w:numPr>
                <w:ilvl w:val="0"/>
                <w:numId w:val="0"/>
              </w:numPr>
              <w:spacing w:line="240" w:lineRule="auto"/>
              <w:jc w:val="left"/>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2.方案未经过总监理工程师签字确认实施；</w:t>
            </w:r>
          </w:p>
          <w:p>
            <w:pPr>
              <w:numPr>
                <w:ilvl w:val="0"/>
                <w:numId w:val="0"/>
              </w:numPr>
              <w:spacing w:line="240" w:lineRule="auto"/>
              <w:jc w:val="left"/>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3.现场未按方案执行；</w:t>
            </w:r>
          </w:p>
          <w:p>
            <w:pPr>
              <w:numPr>
                <w:ilvl w:val="0"/>
                <w:numId w:val="0"/>
              </w:numPr>
              <w:spacing w:line="240" w:lineRule="auto"/>
              <w:jc w:val="left"/>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合1条以上</w:t>
            </w:r>
          </w:p>
        </w:tc>
        <w:tc>
          <w:tcPr>
            <w:tcW w:w="1428" w:type="dxa"/>
            <w:vAlign w:val="center"/>
          </w:tcPr>
          <w:p>
            <w:pPr>
              <w:spacing w:line="36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5000</w:t>
            </w:r>
          </w:p>
        </w:tc>
        <w:tc>
          <w:tcPr>
            <w:tcW w:w="788" w:type="dxa"/>
            <w:vAlign w:val="center"/>
          </w:tcPr>
          <w:p>
            <w:pPr>
              <w:spacing w:line="36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3" w:type="dxa"/>
            <w:vAlign w:val="center"/>
          </w:tcPr>
          <w:p>
            <w:pPr>
              <w:numPr>
                <w:ilvl w:val="0"/>
                <w:numId w:val="0"/>
              </w:numPr>
              <w:spacing w:line="360" w:lineRule="auto"/>
              <w:ind w:leftChars="0"/>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w:t>
            </w:r>
          </w:p>
        </w:tc>
        <w:tc>
          <w:tcPr>
            <w:tcW w:w="1566" w:type="dxa"/>
            <w:vMerge w:val="restart"/>
            <w:vAlign w:val="center"/>
          </w:tcPr>
          <w:p>
            <w:pPr>
              <w:spacing w:line="36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p>
          <w:p>
            <w:pPr>
              <w:spacing w:line="36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t>深基坑</w:t>
            </w:r>
          </w:p>
        </w:tc>
        <w:tc>
          <w:tcPr>
            <w:tcW w:w="5158" w:type="dxa"/>
            <w:vAlign w:val="center"/>
          </w:tcPr>
          <w:p>
            <w:pPr>
              <w:numPr>
                <w:ilvl w:val="0"/>
                <w:numId w:val="0"/>
              </w:numPr>
              <w:spacing w:line="240" w:lineRule="auto"/>
              <w:jc w:val="left"/>
              <w:rPr>
                <w:rFonts w:hint="eastAsia"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i w:val="0"/>
                <w:color w:val="000000" w:themeColor="text1"/>
                <w:kern w:val="0"/>
                <w:sz w:val="24"/>
                <w:szCs w:val="24"/>
                <w:u w:val="none"/>
                <w:lang w:val="en-US" w:eastAsia="zh-CN" w:bidi="ar"/>
                <w14:textFill>
                  <w14:solidFill>
                    <w14:schemeClr w14:val="tx1"/>
                  </w14:solidFill>
                </w14:textFill>
              </w:rPr>
              <w:t>1.基坑监测数据报警累计值3处及以上达到或超过设计与规范要求或单个监测点数据已超累积警戒值50%（变化速率仍未趋于稳定），无针对性处理措施或措施未执行；</w:t>
            </w:r>
            <w:r>
              <w:rPr>
                <w:rFonts w:hint="eastAsia" w:ascii="楷体" w:hAnsi="楷体" w:eastAsia="楷体" w:cs="楷体"/>
                <w:b w:val="0"/>
                <w:bCs w:val="0"/>
                <w:color w:val="000000" w:themeColor="text1"/>
                <w:sz w:val="24"/>
                <w:szCs w:val="24"/>
                <w14:textFill>
                  <w14:solidFill>
                    <w14:schemeClr w14:val="tx1"/>
                  </w14:solidFill>
                </w14:textFill>
              </w:rPr>
              <w:t>基坑边坡已出现塌方、滑坡现象</w:t>
            </w:r>
            <w:r>
              <w:rPr>
                <w:rFonts w:hint="eastAsia" w:ascii="楷体" w:hAnsi="楷体" w:eastAsia="楷体" w:cs="楷体"/>
                <w:b w:val="0"/>
                <w:bCs w:val="0"/>
                <w:color w:val="000000" w:themeColor="text1"/>
                <w:sz w:val="24"/>
                <w:szCs w:val="24"/>
                <w:lang w:val="en-US" w:eastAsia="zh-CN"/>
                <w14:textFill>
                  <w14:solidFill>
                    <w14:schemeClr w14:val="tx1"/>
                  </w14:solidFill>
                </w14:textFill>
              </w:rPr>
              <w:t>；</w:t>
            </w:r>
          </w:p>
          <w:p>
            <w:pPr>
              <w:numPr>
                <w:ilvl w:val="0"/>
                <w:numId w:val="0"/>
              </w:numPr>
              <w:spacing w:line="240" w:lineRule="auto"/>
              <w:jc w:val="left"/>
              <w:rPr>
                <w:rFonts w:hint="eastAsia" w:ascii="楷体" w:hAnsi="楷体" w:eastAsia="楷体" w:cs="楷体"/>
                <w:i w:val="0"/>
                <w:color w:val="000000" w:themeColor="text1"/>
                <w:kern w:val="0"/>
                <w:sz w:val="24"/>
                <w:szCs w:val="24"/>
                <w:u w:val="none"/>
                <w:lang w:val="en-US" w:eastAsia="zh-CN" w:bidi="ar"/>
                <w14:textFill>
                  <w14:solidFill>
                    <w14:schemeClr w14:val="tx1"/>
                  </w14:solidFill>
                </w14:textFill>
              </w:rPr>
            </w:pPr>
            <w:r>
              <w:rPr>
                <w:rFonts w:hint="eastAsia" w:ascii="楷体" w:hAnsi="楷体" w:eastAsia="楷体" w:cs="楷体"/>
                <w:i w:val="0"/>
                <w:color w:val="000000" w:themeColor="text1"/>
                <w:kern w:val="0"/>
                <w:sz w:val="24"/>
                <w:szCs w:val="24"/>
                <w:u w:val="none"/>
                <w:lang w:val="en-US" w:eastAsia="zh-CN" w:bidi="ar"/>
                <w14:textFill>
                  <w14:solidFill>
                    <w14:schemeClr w14:val="tx1"/>
                  </w14:solidFill>
                </w14:textFill>
              </w:rPr>
              <w:t>2.基坑安全等级为一级、二级的支护结构，在基坑开挖过程与支护结构使用期内，未进行支护结构的水平位移监测和基坑开挖影响范围内建（构）筑物、地面的沉降监测；</w:t>
            </w:r>
          </w:p>
          <w:p>
            <w:pPr>
              <w:numPr>
                <w:ilvl w:val="0"/>
                <w:numId w:val="1"/>
              </w:numPr>
              <w:spacing w:line="240" w:lineRule="auto"/>
              <w:jc w:val="left"/>
              <w:rPr>
                <w:rFonts w:hint="eastAsia"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i w:val="0"/>
                <w:color w:val="000000" w:themeColor="text1"/>
                <w:kern w:val="0"/>
                <w:sz w:val="24"/>
                <w:szCs w:val="24"/>
                <w:u w:val="none"/>
                <w:lang w:val="en-US" w:eastAsia="zh-CN" w:bidi="ar"/>
                <w14:textFill>
                  <w14:solidFill>
                    <w14:schemeClr w14:val="tx1"/>
                  </w14:solidFill>
                </w14:textFill>
              </w:rPr>
              <w:t>开挖深度超过3m的基坑，土方开挖深度、开挖顺序及边坡放坡与方案及设计要求不符；</w:t>
            </w:r>
          </w:p>
          <w:p>
            <w:pPr>
              <w:numPr>
                <w:ilvl w:val="0"/>
                <w:numId w:val="1"/>
              </w:numPr>
              <w:spacing w:line="240" w:lineRule="auto"/>
              <w:ind w:left="0" w:leftChars="0" w:firstLine="0" w:firstLineChars="0"/>
              <w:jc w:val="left"/>
              <w:rPr>
                <w:rFonts w:hint="eastAsia"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i w:val="0"/>
                <w:color w:val="000000" w:themeColor="text1"/>
                <w:kern w:val="0"/>
                <w:sz w:val="24"/>
                <w:szCs w:val="24"/>
                <w:u w:val="none"/>
                <w:lang w:val="en-US" w:eastAsia="zh-CN" w:bidi="ar"/>
                <w14:textFill>
                  <w14:solidFill>
                    <w14:schemeClr w14:val="tx1"/>
                  </w14:solidFill>
                </w14:textFill>
              </w:rPr>
              <w:t>基坑支撑结构的拆除方式、拆除顺序不符合专项施工方案要求</w:t>
            </w:r>
          </w:p>
          <w:p>
            <w:pPr>
              <w:numPr>
                <w:ilvl w:val="0"/>
                <w:numId w:val="0"/>
              </w:numPr>
              <w:spacing w:line="240" w:lineRule="auto"/>
              <w:jc w:val="left"/>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合1条及以上</w:t>
            </w:r>
          </w:p>
        </w:tc>
        <w:tc>
          <w:tcPr>
            <w:tcW w:w="1428" w:type="dxa"/>
            <w:vAlign w:val="center"/>
          </w:tcPr>
          <w:p>
            <w:pPr>
              <w:spacing w:line="36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p>
          <w:p>
            <w:pPr>
              <w:spacing w:line="36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p>
          <w:p>
            <w:pPr>
              <w:spacing w:line="36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5000</w:t>
            </w:r>
          </w:p>
        </w:tc>
        <w:tc>
          <w:tcPr>
            <w:tcW w:w="788" w:type="dxa"/>
            <w:vAlign w:val="center"/>
          </w:tcPr>
          <w:p>
            <w:pPr>
              <w:spacing w:line="36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p>
          <w:p>
            <w:pPr>
              <w:spacing w:line="36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p>
          <w:p>
            <w:pPr>
              <w:spacing w:line="36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03" w:type="dxa"/>
            <w:vAlign w:val="center"/>
          </w:tcPr>
          <w:p>
            <w:pPr>
              <w:numPr>
                <w:ilvl w:val="0"/>
                <w:numId w:val="0"/>
              </w:numPr>
              <w:spacing w:line="360" w:lineRule="auto"/>
              <w:ind w:leftChars="0"/>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3</w:t>
            </w:r>
          </w:p>
        </w:tc>
        <w:tc>
          <w:tcPr>
            <w:tcW w:w="1566" w:type="dxa"/>
            <w:vMerge w:val="continue"/>
            <w:vAlign w:val="center"/>
          </w:tcPr>
          <w:p>
            <w:pPr>
              <w:spacing w:line="360" w:lineRule="auto"/>
              <w:jc w:val="center"/>
              <w:rPr>
                <w:rFonts w:hint="eastAsia" w:ascii="楷体" w:hAnsi="楷体" w:eastAsia="楷体" w:cs="楷体"/>
                <w:b w:val="0"/>
                <w:bCs w:val="0"/>
                <w:color w:val="000000" w:themeColor="text1"/>
                <w:sz w:val="24"/>
                <w:szCs w:val="24"/>
                <w:vertAlign w:val="baseline"/>
                <w14:textFill>
                  <w14:solidFill>
                    <w14:schemeClr w14:val="tx1"/>
                  </w14:solidFill>
                </w14:textFill>
              </w:rPr>
            </w:pPr>
          </w:p>
        </w:tc>
        <w:tc>
          <w:tcPr>
            <w:tcW w:w="5158" w:type="dxa"/>
            <w:vAlign w:val="center"/>
          </w:tcPr>
          <w:p>
            <w:pPr>
              <w:numPr>
                <w:ilvl w:val="0"/>
                <w:numId w:val="1"/>
              </w:numPr>
              <w:spacing w:line="240" w:lineRule="auto"/>
              <w:ind w:left="0" w:leftChars="0" w:firstLine="0" w:firstLineChars="0"/>
              <w:jc w:val="left"/>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i w:val="0"/>
                <w:color w:val="000000" w:themeColor="text1"/>
                <w:kern w:val="0"/>
                <w:sz w:val="24"/>
                <w:szCs w:val="24"/>
                <w:u w:val="none"/>
                <w:lang w:val="en-US" w:eastAsia="zh-CN" w:bidi="ar"/>
                <w14:textFill>
                  <w14:solidFill>
                    <w14:schemeClr w14:val="tx1"/>
                  </w14:solidFill>
                </w14:textFill>
              </w:rPr>
              <w:t>基坑边坡已出现塌方、滑坡现象或支护结构已出现变形、开裂现象，又未采取措施调整的；基坑支护出现失稳、桩背土塌陷或因基坑施工，导致邻近市政管线、街道出现塌陷未及时处理的现象</w:t>
            </w:r>
          </w:p>
        </w:tc>
        <w:tc>
          <w:tcPr>
            <w:tcW w:w="1428" w:type="dxa"/>
            <w:vAlign w:val="center"/>
          </w:tcPr>
          <w:p>
            <w:pPr>
              <w:spacing w:line="36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5000</w:t>
            </w:r>
          </w:p>
        </w:tc>
        <w:tc>
          <w:tcPr>
            <w:tcW w:w="788" w:type="dxa"/>
            <w:vAlign w:val="center"/>
          </w:tcPr>
          <w:p>
            <w:pPr>
              <w:spacing w:line="36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exact"/>
        </w:trPr>
        <w:tc>
          <w:tcPr>
            <w:tcW w:w="603" w:type="dxa"/>
            <w:vAlign w:val="center"/>
          </w:tcPr>
          <w:p>
            <w:pPr>
              <w:spacing w:line="360" w:lineRule="auto"/>
              <w:jc w:val="center"/>
              <w:rPr>
                <w:rFonts w:hint="eastAsia" w:ascii="楷体" w:hAnsi="楷体" w:eastAsia="楷体" w:cs="楷体"/>
                <w:b w:val="0"/>
                <w:bCs w:val="0"/>
                <w:color w:val="000000" w:themeColor="text1"/>
                <w:sz w:val="24"/>
                <w:szCs w:val="24"/>
                <w:highlight w:val="none"/>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highlight w:val="none"/>
                <w:vertAlign w:val="baseline"/>
                <w:lang w:val="en-US" w:eastAsia="zh-CN"/>
                <w14:textFill>
                  <w14:solidFill>
                    <w14:schemeClr w14:val="tx1"/>
                  </w14:solidFill>
                </w14:textFill>
              </w:rPr>
              <w:t>4</w:t>
            </w:r>
          </w:p>
        </w:tc>
        <w:tc>
          <w:tcPr>
            <w:tcW w:w="1566" w:type="dxa"/>
            <w:vAlign w:val="center"/>
          </w:tcPr>
          <w:p>
            <w:pPr>
              <w:spacing w:line="360" w:lineRule="auto"/>
              <w:jc w:val="center"/>
              <w:rPr>
                <w:rFonts w:hint="eastAsia" w:ascii="楷体" w:hAnsi="楷体" w:eastAsia="楷体" w:cs="楷体"/>
                <w:b/>
                <w:bCs/>
                <w:i w:val="0"/>
                <w:iCs w:val="0"/>
                <w:color w:val="000000" w:themeColor="text1"/>
                <w:sz w:val="24"/>
                <w:szCs w:val="24"/>
                <w:highlight w:val="none"/>
                <w:vertAlign w:val="baseline"/>
                <w:lang w:val="en-US" w:eastAsia="zh-CN"/>
                <w14:textFill>
                  <w14:solidFill>
                    <w14:schemeClr w14:val="tx1"/>
                  </w14:solidFill>
                </w14:textFill>
              </w:rPr>
            </w:pPr>
            <w:r>
              <w:rPr>
                <w:rFonts w:hint="eastAsia" w:ascii="楷体" w:hAnsi="楷体" w:eastAsia="楷体" w:cs="楷体"/>
                <w:b/>
                <w:bCs/>
                <w:i w:val="0"/>
                <w:iCs w:val="0"/>
                <w:color w:val="000000" w:themeColor="text1"/>
                <w:sz w:val="24"/>
                <w:szCs w:val="24"/>
                <w:highlight w:val="none"/>
                <w:vertAlign w:val="baseline"/>
                <w:lang w:val="en-US" w:eastAsia="zh-CN"/>
                <w14:textFill>
                  <w14:solidFill>
                    <w14:schemeClr w14:val="tx1"/>
                  </w14:solidFill>
                </w14:textFill>
              </w:rPr>
              <w:t>模板支撑</w:t>
            </w:r>
          </w:p>
        </w:tc>
        <w:tc>
          <w:tcPr>
            <w:tcW w:w="5158" w:type="dxa"/>
            <w:vAlign w:val="center"/>
          </w:tcPr>
          <w:p>
            <w:pPr>
              <w:spacing w:line="240" w:lineRule="auto"/>
              <w:jc w:val="left"/>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梁板模板支撑体系</w:t>
            </w:r>
            <w:r>
              <w:rPr>
                <w:rFonts w:hint="eastAsia" w:ascii="楷体" w:hAnsi="楷体" w:eastAsia="楷体" w:cs="楷体"/>
                <w:b w:val="0"/>
                <w:bCs w:val="0"/>
                <w:color w:val="000000" w:themeColor="text1"/>
                <w:sz w:val="24"/>
                <w:szCs w:val="24"/>
                <w:highlight w:val="none"/>
                <w:lang w:val="en-US" w:eastAsia="zh-CN"/>
                <w14:textFill>
                  <w14:solidFill>
                    <w14:schemeClr w14:val="tx1"/>
                  </w14:solidFill>
                </w14:textFill>
              </w:rPr>
              <w:t>单一方向</w:t>
            </w:r>
            <w:r>
              <w:rPr>
                <w:rFonts w:hint="eastAsia" w:ascii="楷体" w:hAnsi="楷体" w:eastAsia="楷体" w:cs="楷体"/>
                <w:b w:val="0"/>
                <w:bCs w:val="0"/>
                <w:color w:val="000000" w:themeColor="text1"/>
                <w:sz w:val="24"/>
                <w:szCs w:val="24"/>
                <w:highlight w:val="none"/>
                <w14:textFill>
                  <w14:solidFill>
                    <w14:schemeClr w14:val="tx1"/>
                  </w14:solidFill>
                </w14:textFill>
              </w:rPr>
              <w:t>扫地杆、水平拉杆缺失超</w:t>
            </w:r>
            <w:r>
              <w:rPr>
                <w:rFonts w:hint="eastAsia" w:ascii="楷体" w:hAnsi="楷体" w:eastAsia="楷体" w:cs="楷体"/>
                <w:b w:val="0"/>
                <w:bCs w:val="0"/>
                <w:color w:val="000000" w:themeColor="text1"/>
                <w:sz w:val="24"/>
                <w:szCs w:val="24"/>
                <w:highlight w:val="none"/>
                <w:lang w:val="en-US" w:eastAsia="zh-CN"/>
                <w14:textFill>
                  <w14:solidFill>
                    <w14:schemeClr w14:val="tx1"/>
                  </w14:solidFill>
                </w14:textFill>
              </w:rPr>
              <w:t>50</w:t>
            </w:r>
            <w:r>
              <w:rPr>
                <w:rFonts w:hint="eastAsia" w:ascii="楷体" w:hAnsi="楷体" w:eastAsia="楷体" w:cs="楷体"/>
                <w:b w:val="0"/>
                <w:bCs w:val="0"/>
                <w:color w:val="000000" w:themeColor="text1"/>
                <w:sz w:val="24"/>
                <w:szCs w:val="24"/>
                <w:highlight w:val="none"/>
                <w14:textFill>
                  <w14:solidFill>
                    <w14:schemeClr w14:val="tx1"/>
                  </w14:solidFill>
                </w14:textFill>
              </w:rPr>
              <w:t>%以上</w:t>
            </w:r>
          </w:p>
          <w:p>
            <w:pPr>
              <w:spacing w:line="240" w:lineRule="auto"/>
              <w:jc w:val="left"/>
              <w:rPr>
                <w:rFonts w:hint="default" w:ascii="楷体" w:hAnsi="楷体" w:eastAsia="楷体" w:cs="楷体"/>
                <w:b w:val="0"/>
                <w:bCs w:val="0"/>
                <w:color w:val="000000" w:themeColor="text1"/>
                <w:sz w:val="24"/>
                <w:szCs w:val="24"/>
                <w:highlight w:val="none"/>
                <w:lang w:val="en-US" w:eastAsia="zh-CN"/>
                <w14:textFill>
                  <w14:solidFill>
                    <w14:schemeClr w14:val="tx1"/>
                  </w14:solidFill>
                </w14:textFill>
              </w:rPr>
            </w:pPr>
            <w:r>
              <w:rPr>
                <w:rFonts w:hint="eastAsia" w:ascii="楷体" w:hAnsi="楷体" w:eastAsia="楷体" w:cs="楷体"/>
                <w:b w:val="0"/>
                <w:bCs w:val="0"/>
                <w:color w:val="000000" w:themeColor="text1"/>
                <w:sz w:val="24"/>
                <w:szCs w:val="24"/>
                <w:highlight w:val="none"/>
                <w:lang w:val="en-US" w:eastAsia="zh-CN"/>
                <w14:textFill>
                  <w14:solidFill>
                    <w14:schemeClr w14:val="tx1"/>
                  </w14:solidFill>
                </w14:textFill>
              </w:rPr>
              <w:t>合3跨板及以上</w:t>
            </w:r>
          </w:p>
        </w:tc>
        <w:tc>
          <w:tcPr>
            <w:tcW w:w="1428" w:type="dxa"/>
            <w:vAlign w:val="center"/>
          </w:tcPr>
          <w:p>
            <w:pPr>
              <w:spacing w:line="360" w:lineRule="auto"/>
              <w:jc w:val="center"/>
              <w:rPr>
                <w:rFonts w:hint="eastAsia" w:ascii="楷体" w:hAnsi="楷体" w:eastAsia="楷体" w:cs="楷体"/>
                <w:b w:val="0"/>
                <w:bCs w:val="0"/>
                <w:color w:val="000000" w:themeColor="text1"/>
                <w:sz w:val="24"/>
                <w:szCs w:val="24"/>
                <w:highlight w:val="none"/>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highlight w:val="none"/>
                <w:vertAlign w:val="baseline"/>
                <w:lang w:val="en-US" w:eastAsia="zh-CN"/>
                <w14:textFill>
                  <w14:solidFill>
                    <w14:schemeClr w14:val="tx1"/>
                  </w14:solidFill>
                </w14:textFill>
              </w:rPr>
              <w:t>5000</w:t>
            </w:r>
          </w:p>
        </w:tc>
        <w:tc>
          <w:tcPr>
            <w:tcW w:w="788" w:type="dxa"/>
            <w:vAlign w:val="center"/>
          </w:tcPr>
          <w:p>
            <w:pPr>
              <w:spacing w:line="360" w:lineRule="auto"/>
              <w:jc w:val="center"/>
              <w:rPr>
                <w:rFonts w:hint="eastAsia" w:ascii="楷体" w:hAnsi="楷体" w:eastAsia="楷体" w:cs="楷体"/>
                <w:b w:val="0"/>
                <w:bCs w:val="0"/>
                <w:color w:val="000000" w:themeColor="text1"/>
                <w:sz w:val="24"/>
                <w:szCs w:val="24"/>
                <w:highlight w:val="none"/>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highlight w:val="none"/>
                <w:vertAlign w:val="baseline"/>
                <w:lang w:val="en-US" w:eastAsia="zh-CN"/>
                <w14:textFill>
                  <w14:solidFill>
                    <w14:schemeClr w14:val="tx1"/>
                  </w14:solidFill>
                </w14:textFill>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03" w:type="dxa"/>
            <w:vAlign w:val="center"/>
          </w:tcPr>
          <w:p>
            <w:pPr>
              <w:spacing w:line="36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5</w:t>
            </w:r>
          </w:p>
        </w:tc>
        <w:tc>
          <w:tcPr>
            <w:tcW w:w="1566" w:type="dxa"/>
            <w:vMerge w:val="restart"/>
            <w:vAlign w:val="center"/>
          </w:tcPr>
          <w:p>
            <w:pPr>
              <w:spacing w:line="360" w:lineRule="auto"/>
              <w:jc w:val="center"/>
              <w:rPr>
                <w:rFonts w:hint="default" w:ascii="楷体" w:hAnsi="楷体" w:eastAsia="楷体" w:cs="楷体"/>
                <w:b/>
                <w:bCs/>
                <w:i w:val="0"/>
                <w:iCs w:val="0"/>
                <w:color w:val="000000" w:themeColor="text1"/>
                <w:sz w:val="24"/>
                <w:szCs w:val="24"/>
                <w:vertAlign w:val="baseline"/>
                <w:lang w:val="en-US" w:eastAsia="zh-CN"/>
                <w14:textFill>
                  <w14:solidFill>
                    <w14:schemeClr w14:val="tx1"/>
                  </w14:solidFill>
                </w14:textFill>
              </w:rPr>
            </w:pPr>
            <w:r>
              <w:rPr>
                <w:b/>
                <w:bCs/>
                <w:i w:val="0"/>
                <w:iCs w:val="0"/>
                <w:sz w:val="24"/>
              </w:rPr>
              <mc:AlternateContent>
                <mc:Choice Requires="wps">
                  <w:drawing>
                    <wp:anchor distT="0" distB="0" distL="114300" distR="114300" simplePos="0" relativeHeight="251664384" behindDoc="0" locked="0" layoutInCell="1" allowOverlap="1">
                      <wp:simplePos x="0" y="0"/>
                      <wp:positionH relativeFrom="column">
                        <wp:posOffset>73025</wp:posOffset>
                      </wp:positionH>
                      <wp:positionV relativeFrom="paragraph">
                        <wp:posOffset>188595</wp:posOffset>
                      </wp:positionV>
                      <wp:extent cx="710565" cy="381000"/>
                      <wp:effectExtent l="0" t="0" r="13335" b="0"/>
                      <wp:wrapNone/>
                      <wp:docPr id="8" name="文本框 8"/>
                      <wp:cNvGraphicFramePr/>
                      <a:graphic xmlns:a="http://schemas.openxmlformats.org/drawingml/2006/main">
                        <a:graphicData uri="http://schemas.microsoft.com/office/word/2010/wordprocessingShape">
                          <wps:wsp>
                            <wps:cNvSpPr txBox="1"/>
                            <wps:spPr>
                              <a:xfrm>
                                <a:off x="1229995" y="9210040"/>
                                <a:ext cx="710565" cy="3810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楷体" w:hAnsi="楷体" w:eastAsia="楷体" w:cs="楷体"/>
                                      <w:sz w:val="24"/>
                                      <w:szCs w:val="32"/>
                                      <w:lang w:val="en-US" w:eastAsia="zh-CN"/>
                                    </w:rPr>
                                  </w:pPr>
                                  <w:r>
                                    <w:rPr>
                                      <w:rFonts w:hint="eastAsia" w:ascii="楷体" w:hAnsi="楷体" w:eastAsia="楷体" w:cs="楷体"/>
                                      <w:b/>
                                      <w:bCs/>
                                      <w:sz w:val="24"/>
                                      <w:szCs w:val="32"/>
                                      <w:lang w:val="en-US" w:eastAsia="zh-CN"/>
                                    </w:rPr>
                                    <w:t>塔吊</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75pt;margin-top:14.85pt;height:30pt;width:55.95pt;z-index:251664384;mso-width-relative:page;mso-height-relative:page;" fillcolor="#FFFFFF [3201]" filled="t" stroked="f" coordsize="21600,21600" o:gfxdata="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PtkhEDTAAAA&#10;CAEAAA8AAAAAAAAAAQAgAAAAIgAAAGRycy9kb3ducmV2LnhtbFBLAQIUABQAAAAIAIdO4kDW9HzV&#10;WwIAAJoEAAAOAAAAAAAAAAEAIAAAACIBAABkcnMvZTJvRG9jLnhtbFBLBQYAAAAABgAGAFkBAADv&#10;BQAAAAA=&#10;">
                      <v:fill on="t" focussize="0,0"/>
                      <v:stroke on="f" weight="0.5pt"/>
                      <v:imagedata o:title=""/>
                      <o:lock v:ext="edit" aspectratio="f"/>
                      <v:textbox>
                        <w:txbxContent>
                          <w:p>
                            <w:pPr>
                              <w:jc w:val="center"/>
                              <w:rPr>
                                <w:rFonts w:hint="eastAsia" w:ascii="楷体" w:hAnsi="楷体" w:eastAsia="楷体" w:cs="楷体"/>
                                <w:sz w:val="24"/>
                                <w:szCs w:val="32"/>
                                <w:lang w:val="en-US" w:eastAsia="zh-CN"/>
                              </w:rPr>
                            </w:pPr>
                            <w:r>
                              <w:rPr>
                                <w:rFonts w:hint="eastAsia" w:ascii="楷体" w:hAnsi="楷体" w:eastAsia="楷体" w:cs="楷体"/>
                                <w:b/>
                                <w:bCs/>
                                <w:sz w:val="24"/>
                                <w:szCs w:val="32"/>
                                <w:lang w:val="en-US" w:eastAsia="zh-CN"/>
                              </w:rPr>
                              <w:t>塔吊</w:t>
                            </w:r>
                          </w:p>
                        </w:txbxContent>
                      </v:textbox>
                    </v:shape>
                  </w:pict>
                </mc:Fallback>
              </mc:AlternateContent>
            </w:r>
          </w:p>
          <w:p>
            <w:pPr>
              <w:spacing w:line="360" w:lineRule="auto"/>
              <w:jc w:val="center"/>
              <w:rPr>
                <w:rFonts w:hint="eastAsia" w:ascii="楷体" w:hAnsi="楷体" w:eastAsia="楷体" w:cs="楷体"/>
                <w:b/>
                <w:bCs/>
                <w:i w:val="0"/>
                <w:iCs w:val="0"/>
                <w:color w:val="000000" w:themeColor="text1"/>
                <w:sz w:val="24"/>
                <w:szCs w:val="24"/>
                <w:vertAlign w:val="baseline"/>
                <w:lang w:val="en-US" w:eastAsia="zh-CN"/>
                <w14:textFill>
                  <w14:solidFill>
                    <w14:schemeClr w14:val="tx1"/>
                  </w14:solidFill>
                </w14:textFill>
              </w:rPr>
            </w:pPr>
          </w:p>
          <w:p>
            <w:pPr>
              <w:spacing w:line="360" w:lineRule="auto"/>
              <w:jc w:val="center"/>
              <w:rPr>
                <w:rFonts w:hint="eastAsia" w:ascii="楷体" w:hAnsi="楷体" w:eastAsia="楷体" w:cs="楷体"/>
                <w:b/>
                <w:bCs/>
                <w:i w:val="0"/>
                <w:iCs w:val="0"/>
                <w:color w:val="000000" w:themeColor="text1"/>
                <w:sz w:val="24"/>
                <w:szCs w:val="24"/>
                <w:vertAlign w:val="baseline"/>
                <w:lang w:val="en-US" w:eastAsia="zh-CN"/>
                <w14:textFill>
                  <w14:solidFill>
                    <w14:schemeClr w14:val="tx1"/>
                  </w14:solidFill>
                </w14:textFill>
              </w:rPr>
            </w:pPr>
          </w:p>
          <w:p>
            <w:pPr>
              <w:spacing w:line="360" w:lineRule="auto"/>
              <w:jc w:val="center"/>
              <w:rPr>
                <w:rFonts w:hint="eastAsia" w:ascii="楷体" w:hAnsi="楷体" w:eastAsia="楷体" w:cs="楷体"/>
                <w:b/>
                <w:bCs/>
                <w:i w:val="0"/>
                <w:iCs w:val="0"/>
                <w:color w:val="000000" w:themeColor="text1"/>
                <w:sz w:val="24"/>
                <w:szCs w:val="24"/>
                <w:vertAlign w:val="baseline"/>
                <w:lang w:val="en-US" w:eastAsia="zh-CN"/>
                <w14:textFill>
                  <w14:solidFill>
                    <w14:schemeClr w14:val="tx1"/>
                  </w14:solidFill>
                </w14:textFill>
              </w:rPr>
            </w:pPr>
          </w:p>
          <w:p>
            <w:pPr>
              <w:spacing w:line="360" w:lineRule="auto"/>
              <w:jc w:val="center"/>
              <w:rPr>
                <w:rFonts w:hint="eastAsia" w:ascii="楷体" w:hAnsi="楷体" w:eastAsia="楷体" w:cs="楷体"/>
                <w:b/>
                <w:bCs/>
                <w:i w:val="0"/>
                <w:iCs w:val="0"/>
                <w:color w:val="000000" w:themeColor="text1"/>
                <w:sz w:val="24"/>
                <w:szCs w:val="24"/>
                <w:vertAlign w:val="baseline"/>
                <w:lang w:val="en-US" w:eastAsia="zh-CN"/>
                <w14:textFill>
                  <w14:solidFill>
                    <w14:schemeClr w14:val="tx1"/>
                  </w14:solidFill>
                </w14:textFill>
              </w:rPr>
            </w:pPr>
          </w:p>
          <w:p>
            <w:pPr>
              <w:spacing w:line="360" w:lineRule="auto"/>
              <w:jc w:val="center"/>
              <w:rPr>
                <w:rFonts w:hint="eastAsia" w:ascii="楷体" w:hAnsi="楷体" w:eastAsia="楷体" w:cs="楷体"/>
                <w:b/>
                <w:bCs/>
                <w:i w:val="0"/>
                <w:iCs w:val="0"/>
                <w:color w:val="000000" w:themeColor="text1"/>
                <w:sz w:val="24"/>
                <w:szCs w:val="24"/>
                <w:vertAlign w:val="baseline"/>
                <w:lang w:val="en-US" w:eastAsia="zh-CN"/>
                <w14:textFill>
                  <w14:solidFill>
                    <w14:schemeClr w14:val="tx1"/>
                  </w14:solidFill>
                </w14:textFill>
              </w:rPr>
            </w:pPr>
          </w:p>
          <w:p>
            <w:pPr>
              <w:spacing w:line="360" w:lineRule="auto"/>
              <w:jc w:val="center"/>
              <w:rPr>
                <w:rFonts w:hint="eastAsia" w:ascii="楷体" w:hAnsi="楷体" w:eastAsia="楷体" w:cs="楷体"/>
                <w:b/>
                <w:bCs/>
                <w:i w:val="0"/>
                <w:iCs w:val="0"/>
                <w:color w:val="000000" w:themeColor="text1"/>
                <w:sz w:val="24"/>
                <w:szCs w:val="24"/>
                <w:vertAlign w:val="baseline"/>
                <w:lang w:val="en-US" w:eastAsia="zh-CN"/>
                <w14:textFill>
                  <w14:solidFill>
                    <w14:schemeClr w14:val="tx1"/>
                  </w14:solidFill>
                </w14:textFill>
              </w:rPr>
            </w:pPr>
            <w:r>
              <w:rPr>
                <w:b/>
                <w:bCs/>
                <w:i w:val="0"/>
                <w:iCs w:val="0"/>
                <w:sz w:val="24"/>
              </w:rPr>
              <mc:AlternateContent>
                <mc:Choice Requires="wps">
                  <w:drawing>
                    <wp:anchor distT="0" distB="0" distL="114300" distR="114300" simplePos="0" relativeHeight="251665408" behindDoc="0" locked="0" layoutInCell="1" allowOverlap="1">
                      <wp:simplePos x="0" y="0"/>
                      <wp:positionH relativeFrom="column">
                        <wp:posOffset>177165</wp:posOffset>
                      </wp:positionH>
                      <wp:positionV relativeFrom="paragraph">
                        <wp:posOffset>151765</wp:posOffset>
                      </wp:positionV>
                      <wp:extent cx="528320" cy="415925"/>
                      <wp:effectExtent l="0" t="0" r="5080" b="3175"/>
                      <wp:wrapNone/>
                      <wp:docPr id="9" name="文本框 9"/>
                      <wp:cNvGraphicFramePr/>
                      <a:graphic xmlns:a="http://schemas.openxmlformats.org/drawingml/2006/main">
                        <a:graphicData uri="http://schemas.microsoft.com/office/word/2010/wordprocessingShape">
                          <wps:wsp>
                            <wps:cNvSpPr txBox="1"/>
                            <wps:spPr>
                              <a:xfrm>
                                <a:off x="1203960" y="1776730"/>
                                <a:ext cx="528320" cy="4159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楷体" w:hAnsi="楷体" w:eastAsia="楷体" w:cs="楷体"/>
                                      <w:b/>
                                      <w:bCs/>
                                      <w:sz w:val="24"/>
                                      <w:szCs w:val="32"/>
                                      <w:lang w:val="en-US" w:eastAsia="zh-CN"/>
                                    </w:rPr>
                                  </w:pPr>
                                  <w:r>
                                    <w:rPr>
                                      <w:rFonts w:hint="eastAsia" w:ascii="楷体" w:hAnsi="楷体" w:eastAsia="楷体" w:cs="楷体"/>
                                      <w:b/>
                                      <w:bCs/>
                                      <w:sz w:val="24"/>
                                      <w:szCs w:val="32"/>
                                      <w:lang w:val="en-US" w:eastAsia="zh-CN"/>
                                    </w:rPr>
                                    <w:t>塔吊</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95pt;margin-top:11.95pt;height:32.75pt;width:41.6pt;z-index:251665408;mso-width-relative:page;mso-height-relative:page;" fillcolor="#FFFFFF [3201]" filled="t" stroked="f" coordsize="21600,21600" o:gfxdata="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JW1dyjTAAAACAEA&#10;AA8AAAAAAAAAAQAgAAAAIgAAAGRycy9kb3ducmV2LnhtbFBLAQIUABQAAAAIAIdO4kDVvzmeWAIA&#10;AJoEAAAOAAAAAAAAAAEAIAAAACIBAABkcnMvZTJvRG9jLnhtbFBLBQYAAAAABgAGAFkBAADsBQAA&#10;AAA=&#10;">
                      <v:fill on="t" focussize="0,0"/>
                      <v:stroke on="f" weight="0.5pt"/>
                      <v:imagedata o:title=""/>
                      <o:lock v:ext="edit" aspectratio="f"/>
                      <v:textbox>
                        <w:txbxContent>
                          <w:p>
                            <w:pPr>
                              <w:jc w:val="center"/>
                              <w:rPr>
                                <w:rFonts w:hint="eastAsia" w:ascii="楷体" w:hAnsi="楷体" w:eastAsia="楷体" w:cs="楷体"/>
                                <w:b/>
                                <w:bCs/>
                                <w:sz w:val="24"/>
                                <w:szCs w:val="32"/>
                                <w:lang w:val="en-US" w:eastAsia="zh-CN"/>
                              </w:rPr>
                            </w:pPr>
                            <w:r>
                              <w:rPr>
                                <w:rFonts w:hint="eastAsia" w:ascii="楷体" w:hAnsi="楷体" w:eastAsia="楷体" w:cs="楷体"/>
                                <w:b/>
                                <w:bCs/>
                                <w:sz w:val="24"/>
                                <w:szCs w:val="32"/>
                                <w:lang w:val="en-US" w:eastAsia="zh-CN"/>
                              </w:rPr>
                              <w:t>塔吊</w:t>
                            </w:r>
                          </w:p>
                        </w:txbxContent>
                      </v:textbox>
                    </v:shape>
                  </w:pict>
                </mc:Fallback>
              </mc:AlternateContent>
            </w:r>
          </w:p>
          <w:p>
            <w:pPr>
              <w:spacing w:line="360" w:lineRule="auto"/>
              <w:jc w:val="center"/>
              <w:rPr>
                <w:rFonts w:hint="eastAsia" w:ascii="楷体" w:hAnsi="楷体" w:eastAsia="楷体" w:cs="楷体"/>
                <w:b/>
                <w:bCs/>
                <w:i w:val="0"/>
                <w:iCs w:val="0"/>
                <w:color w:val="000000" w:themeColor="text1"/>
                <w:sz w:val="24"/>
                <w:szCs w:val="24"/>
                <w:vertAlign w:val="baseline"/>
                <w:lang w:val="en-US" w:eastAsia="zh-CN"/>
                <w14:textFill>
                  <w14:solidFill>
                    <w14:schemeClr w14:val="tx1"/>
                  </w14:solidFill>
                </w14:textFill>
              </w:rPr>
            </w:pPr>
          </w:p>
          <w:p>
            <w:pPr>
              <w:spacing w:line="360" w:lineRule="auto"/>
              <w:jc w:val="center"/>
              <w:rPr>
                <w:rFonts w:hint="eastAsia" w:ascii="楷体" w:hAnsi="楷体" w:eastAsia="楷体" w:cs="楷体"/>
                <w:b/>
                <w:bCs/>
                <w:i w:val="0"/>
                <w:iCs w:val="0"/>
                <w:color w:val="000000" w:themeColor="text1"/>
                <w:sz w:val="24"/>
                <w:szCs w:val="24"/>
                <w:vertAlign w:val="baseline"/>
                <w:lang w:val="en-US" w:eastAsia="zh-CN"/>
                <w14:textFill>
                  <w14:solidFill>
                    <w14:schemeClr w14:val="tx1"/>
                  </w14:solidFill>
                </w14:textFill>
              </w:rPr>
            </w:pPr>
          </w:p>
        </w:tc>
        <w:tc>
          <w:tcPr>
            <w:tcW w:w="5158" w:type="dxa"/>
            <w:vAlign w:val="center"/>
          </w:tcPr>
          <w:p>
            <w:pPr>
              <w:spacing w:line="360" w:lineRule="auto"/>
              <w:jc w:val="left"/>
              <w:rPr>
                <w:rFonts w:hint="eastAsia" w:ascii="楷体" w:hAnsi="楷体" w:eastAsia="楷体" w:cs="楷体"/>
                <w:b w:val="0"/>
                <w:bCs w:val="0"/>
                <w:color w:val="000000" w:themeColor="text1"/>
                <w:kern w:val="2"/>
                <w:sz w:val="24"/>
                <w:szCs w:val="24"/>
                <w:lang w:val="en-US" w:eastAsia="zh-CN" w:bidi="ar-SA"/>
                <w14:textFill>
                  <w14:solidFill>
                    <w14:schemeClr w14:val="tx1"/>
                  </w14:solidFill>
                </w14:textFill>
              </w:rPr>
            </w:pPr>
            <w:r>
              <w:rPr>
                <w:rFonts w:hint="eastAsia" w:ascii="楷体" w:hAnsi="楷体" w:eastAsia="楷体" w:cs="楷体"/>
                <w:b w:val="0"/>
                <w:bCs w:val="0"/>
                <w:color w:val="000000" w:themeColor="text1"/>
                <w:kern w:val="2"/>
                <w:sz w:val="24"/>
                <w:szCs w:val="24"/>
                <w:lang w:val="en-US" w:eastAsia="zh-CN" w:bidi="ar-SA"/>
                <w14:textFill>
                  <w14:solidFill>
                    <w14:schemeClr w14:val="tx1"/>
                  </w14:solidFill>
                </w14:textFill>
              </w:rPr>
              <w:t>塔吊基础无方案或不按方案执行</w:t>
            </w:r>
          </w:p>
        </w:tc>
        <w:tc>
          <w:tcPr>
            <w:tcW w:w="1428" w:type="dxa"/>
            <w:vAlign w:val="center"/>
          </w:tcPr>
          <w:p>
            <w:pPr>
              <w:spacing w:line="360" w:lineRule="auto"/>
              <w:jc w:val="center"/>
              <w:rPr>
                <w:rFonts w:hint="eastAsia" w:ascii="楷体" w:hAnsi="楷体" w:eastAsia="楷体" w:cs="楷体"/>
                <w:b w:val="0"/>
                <w:bCs w:val="0"/>
                <w:color w:val="000000" w:themeColor="text1"/>
                <w:kern w:val="2"/>
                <w:sz w:val="24"/>
                <w:szCs w:val="24"/>
                <w:vertAlign w:val="baseline"/>
                <w:lang w:val="en-US" w:eastAsia="zh-CN" w:bidi="ar-SA"/>
                <w14:textFill>
                  <w14:solidFill>
                    <w14:schemeClr w14:val="tx1"/>
                  </w14:solidFill>
                </w14:textFill>
              </w:rPr>
            </w:pPr>
            <w:r>
              <w:rPr>
                <w:rFonts w:hint="eastAsia" w:ascii="楷体" w:hAnsi="楷体" w:eastAsia="楷体" w:cs="楷体"/>
                <w:b w:val="0"/>
                <w:bCs w:val="0"/>
                <w:color w:val="000000" w:themeColor="text1"/>
                <w:kern w:val="2"/>
                <w:sz w:val="24"/>
                <w:szCs w:val="24"/>
                <w:vertAlign w:val="baseline"/>
                <w:lang w:val="en-US" w:eastAsia="zh-CN" w:bidi="ar-SA"/>
                <w14:textFill>
                  <w14:solidFill>
                    <w14:schemeClr w14:val="tx1"/>
                  </w14:solidFill>
                </w14:textFill>
              </w:rPr>
              <w:t>5000</w:t>
            </w:r>
          </w:p>
        </w:tc>
        <w:tc>
          <w:tcPr>
            <w:tcW w:w="788" w:type="dxa"/>
            <w:vAlign w:val="center"/>
          </w:tcPr>
          <w:p>
            <w:pPr>
              <w:spacing w:line="360" w:lineRule="auto"/>
              <w:jc w:val="center"/>
              <w:rPr>
                <w:rFonts w:hint="eastAsia" w:ascii="楷体" w:hAnsi="楷体" w:eastAsia="楷体" w:cs="楷体"/>
                <w:b w:val="0"/>
                <w:bCs w:val="0"/>
                <w:color w:val="000000" w:themeColor="text1"/>
                <w:kern w:val="2"/>
                <w:sz w:val="24"/>
                <w:szCs w:val="24"/>
                <w:vertAlign w:val="baseline"/>
                <w:lang w:val="en-US" w:eastAsia="zh-CN" w:bidi="ar-SA"/>
                <w14:textFill>
                  <w14:solidFill>
                    <w14:schemeClr w14:val="tx1"/>
                  </w14:solidFill>
                </w14:textFill>
              </w:rPr>
            </w:pPr>
            <w:r>
              <w:rPr>
                <w:rFonts w:hint="eastAsia" w:ascii="楷体" w:hAnsi="楷体" w:eastAsia="楷体" w:cs="楷体"/>
                <w:b w:val="0"/>
                <w:bCs w:val="0"/>
                <w:color w:val="000000" w:themeColor="text1"/>
                <w:kern w:val="2"/>
                <w:sz w:val="24"/>
                <w:szCs w:val="24"/>
                <w:vertAlign w:val="baseline"/>
                <w:lang w:val="en-US" w:eastAsia="zh-CN" w:bidi="ar-SA"/>
                <w14:textFill>
                  <w14:solidFill>
                    <w14:schemeClr w14:val="tx1"/>
                  </w14:solidFill>
                </w14:textFill>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03" w:type="dxa"/>
            <w:vAlign w:val="center"/>
          </w:tcPr>
          <w:p>
            <w:pPr>
              <w:spacing w:line="24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6</w:t>
            </w:r>
          </w:p>
        </w:tc>
        <w:tc>
          <w:tcPr>
            <w:tcW w:w="1566" w:type="dxa"/>
            <w:vMerge w:val="continue"/>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p>
        </w:tc>
        <w:tc>
          <w:tcPr>
            <w:tcW w:w="5158" w:type="dxa"/>
            <w:vAlign w:val="center"/>
          </w:tcPr>
          <w:p>
            <w:pPr>
              <w:spacing w:line="240" w:lineRule="auto"/>
              <w:jc w:val="left"/>
              <w:rPr>
                <w:rFonts w:hint="eastAsia" w:ascii="楷体" w:hAnsi="楷体" w:eastAsia="楷体" w:cs="楷体"/>
                <w:b w:val="0"/>
                <w:bCs w:val="0"/>
                <w:color w:val="000000" w:themeColor="text1"/>
                <w:kern w:val="2"/>
                <w:sz w:val="24"/>
                <w:szCs w:val="24"/>
                <w:lang w:val="en-US" w:eastAsia="zh-CN" w:bidi="ar-SA"/>
                <w14:textFill>
                  <w14:solidFill>
                    <w14:schemeClr w14:val="tx1"/>
                  </w14:solidFill>
                </w14:textFill>
              </w:rPr>
            </w:pPr>
            <w:r>
              <w:rPr>
                <w:rFonts w:hint="eastAsia" w:ascii="楷体" w:hAnsi="楷体" w:eastAsia="楷体" w:cs="楷体"/>
                <w:b w:val="0"/>
                <w:bCs w:val="0"/>
                <w:color w:val="000000" w:themeColor="text1"/>
                <w:sz w:val="24"/>
                <w:szCs w:val="24"/>
                <w14:textFill>
                  <w14:solidFill>
                    <w14:schemeClr w14:val="tx1"/>
                  </w14:solidFill>
                </w14:textFill>
              </w:rPr>
              <w:t>吊车司机、信号工、电梯司机、机械操作人员等特殊作业人员持证上岗；超过5</w:t>
            </w:r>
            <w:r>
              <w:rPr>
                <w:rFonts w:hint="eastAsia" w:ascii="楷体" w:hAnsi="楷体" w:eastAsia="楷体" w:cs="楷体"/>
                <w:b w:val="0"/>
                <w:bCs w:val="0"/>
                <w:color w:val="000000" w:themeColor="text1"/>
                <w:sz w:val="24"/>
                <w:szCs w:val="24"/>
                <w:lang w:val="en-US" w:eastAsia="zh-CN"/>
                <w14:textFill>
                  <w14:solidFill>
                    <w14:schemeClr w14:val="tx1"/>
                  </w14:solidFill>
                </w14:textFill>
              </w:rPr>
              <w:t>人</w:t>
            </w:r>
            <w:r>
              <w:rPr>
                <w:rFonts w:hint="eastAsia" w:ascii="楷体" w:hAnsi="楷体" w:eastAsia="楷体" w:cs="楷体"/>
                <w:b w:val="0"/>
                <w:bCs w:val="0"/>
                <w:color w:val="000000" w:themeColor="text1"/>
                <w:sz w:val="24"/>
                <w:szCs w:val="24"/>
                <w14:textFill>
                  <w14:solidFill>
                    <w14:schemeClr w14:val="tx1"/>
                  </w14:solidFill>
                </w14:textFill>
              </w:rPr>
              <w:t>及以上</w:t>
            </w:r>
          </w:p>
        </w:tc>
        <w:tc>
          <w:tcPr>
            <w:tcW w:w="1428" w:type="dxa"/>
            <w:vAlign w:val="center"/>
          </w:tcPr>
          <w:p>
            <w:pPr>
              <w:spacing w:line="240" w:lineRule="auto"/>
              <w:jc w:val="center"/>
              <w:rPr>
                <w:rFonts w:hint="eastAsia" w:ascii="楷体" w:hAnsi="楷体" w:eastAsia="楷体" w:cs="楷体"/>
                <w:b w:val="0"/>
                <w:bCs w:val="0"/>
                <w:color w:val="000000" w:themeColor="text1"/>
                <w:kern w:val="2"/>
                <w:sz w:val="24"/>
                <w:szCs w:val="24"/>
                <w:vertAlign w:val="baseline"/>
                <w:lang w:val="en-US" w:eastAsia="zh-CN" w:bidi="ar-SA"/>
                <w14:textFill>
                  <w14:solidFill>
                    <w14:schemeClr w14:val="tx1"/>
                  </w14:solidFill>
                </w14:textFill>
              </w:rPr>
            </w:pPr>
            <w:r>
              <w:rPr>
                <w:rFonts w:hint="eastAsia" w:ascii="楷体" w:hAnsi="楷体" w:eastAsia="楷体" w:cs="楷体"/>
                <w:b w:val="0"/>
                <w:bCs w:val="0"/>
                <w:color w:val="000000" w:themeColor="text1"/>
                <w:kern w:val="2"/>
                <w:sz w:val="24"/>
                <w:szCs w:val="24"/>
                <w:vertAlign w:val="baseline"/>
                <w:lang w:val="en-US" w:eastAsia="zh-CN" w:bidi="ar-SA"/>
                <w14:textFill>
                  <w14:solidFill>
                    <w14:schemeClr w14:val="tx1"/>
                  </w14:solidFill>
                </w14:textFill>
              </w:rPr>
              <w:t>5000（每人1000）</w:t>
            </w:r>
          </w:p>
        </w:tc>
        <w:tc>
          <w:tcPr>
            <w:tcW w:w="788" w:type="dxa"/>
            <w:vAlign w:val="center"/>
          </w:tcPr>
          <w:p>
            <w:pPr>
              <w:spacing w:line="240" w:lineRule="auto"/>
              <w:jc w:val="center"/>
              <w:rPr>
                <w:rFonts w:hint="eastAsia" w:ascii="楷体" w:hAnsi="楷体" w:eastAsia="楷体" w:cs="楷体"/>
                <w:b w:val="0"/>
                <w:bCs w:val="0"/>
                <w:color w:val="000000" w:themeColor="text1"/>
                <w:kern w:val="2"/>
                <w:sz w:val="24"/>
                <w:szCs w:val="24"/>
                <w:vertAlign w:val="baseline"/>
                <w:lang w:val="en-US" w:eastAsia="zh-CN" w:bidi="ar-SA"/>
                <w14:textFill>
                  <w14:solidFill>
                    <w14:schemeClr w14:val="tx1"/>
                  </w14:solidFill>
                </w14:textFill>
              </w:rPr>
            </w:pPr>
            <w:r>
              <w:rPr>
                <w:rFonts w:hint="eastAsia" w:ascii="楷体" w:hAnsi="楷体" w:eastAsia="楷体" w:cs="楷体"/>
                <w:b w:val="0"/>
                <w:bCs w:val="0"/>
                <w:color w:val="000000" w:themeColor="text1"/>
                <w:kern w:val="2"/>
                <w:sz w:val="24"/>
                <w:szCs w:val="24"/>
                <w:vertAlign w:val="baseline"/>
                <w:lang w:val="en-US" w:eastAsia="zh-CN" w:bidi="ar-SA"/>
                <w14:textFill>
                  <w14:solidFill>
                    <w14:schemeClr w14:val="tx1"/>
                  </w14:solidFill>
                </w14:textFill>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603"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7</w:t>
            </w:r>
          </w:p>
        </w:tc>
        <w:tc>
          <w:tcPr>
            <w:tcW w:w="1566" w:type="dxa"/>
            <w:vMerge w:val="continue"/>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p>
        </w:tc>
        <w:tc>
          <w:tcPr>
            <w:tcW w:w="5158" w:type="dxa"/>
            <w:vAlign w:val="center"/>
          </w:tcPr>
          <w:p>
            <w:pPr>
              <w:numPr>
                <w:ilvl w:val="0"/>
                <w:numId w:val="2"/>
              </w:numPr>
              <w:spacing w:line="240" w:lineRule="auto"/>
              <w:jc w:val="left"/>
              <w:rPr>
                <w:rFonts w:hint="eastAsia"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b w:val="0"/>
                <w:bCs w:val="0"/>
                <w:color w:val="000000" w:themeColor="text1"/>
                <w:sz w:val="24"/>
                <w:szCs w:val="24"/>
                <w14:textFill>
                  <w14:solidFill>
                    <w14:schemeClr w14:val="tx1"/>
                  </w14:solidFill>
                </w14:textFill>
              </w:rPr>
              <w:t>塔吊无起重限位、力矩限位、高度限位装置、回转限位器</w:t>
            </w:r>
            <w:r>
              <w:rPr>
                <w:rFonts w:hint="eastAsia" w:ascii="楷体" w:hAnsi="楷体" w:eastAsia="楷体" w:cs="楷体"/>
                <w:b w:val="0"/>
                <w:bCs w:val="0"/>
                <w:color w:val="000000" w:themeColor="text1"/>
                <w:sz w:val="24"/>
                <w:szCs w:val="24"/>
                <w:lang w:eastAsia="zh-CN"/>
                <w14:textFill>
                  <w14:solidFill>
                    <w14:schemeClr w14:val="tx1"/>
                  </w14:solidFill>
                </w14:textFill>
              </w:rPr>
              <w:t>等安全保护装置</w:t>
            </w:r>
            <w:r>
              <w:rPr>
                <w:rFonts w:hint="eastAsia" w:ascii="楷体" w:hAnsi="楷体" w:eastAsia="楷体" w:cs="楷体"/>
                <w:b w:val="0"/>
                <w:bCs w:val="0"/>
                <w:color w:val="000000" w:themeColor="text1"/>
                <w:sz w:val="24"/>
                <w:szCs w:val="24"/>
                <w:lang w:val="en-US" w:eastAsia="zh-CN"/>
                <w14:textFill>
                  <w14:solidFill>
                    <w14:schemeClr w14:val="tx1"/>
                  </w14:solidFill>
                </w14:textFill>
              </w:rPr>
              <w:t>；2.</w:t>
            </w:r>
            <w:r>
              <w:rPr>
                <w:rFonts w:hint="eastAsia" w:ascii="楷体" w:hAnsi="楷体" w:eastAsia="楷体" w:cs="楷体"/>
                <w:b w:val="0"/>
                <w:bCs w:val="0"/>
                <w:color w:val="000000" w:themeColor="text1"/>
                <w:sz w:val="24"/>
                <w:szCs w:val="24"/>
                <w14:textFill>
                  <w14:solidFill>
                    <w14:schemeClr w14:val="tx1"/>
                  </w14:solidFill>
                </w14:textFill>
              </w:rPr>
              <w:t>无避雷接地装置</w:t>
            </w:r>
            <w:r>
              <w:rPr>
                <w:rFonts w:hint="eastAsia" w:ascii="楷体" w:hAnsi="楷体" w:eastAsia="楷体" w:cs="楷体"/>
                <w:b w:val="0"/>
                <w:bCs w:val="0"/>
                <w:color w:val="000000" w:themeColor="text1"/>
                <w:sz w:val="24"/>
                <w:szCs w:val="24"/>
                <w:lang w:val="en-US" w:eastAsia="zh-CN"/>
                <w14:textFill>
                  <w14:solidFill>
                    <w14:schemeClr w14:val="tx1"/>
                  </w14:solidFill>
                </w14:textFill>
              </w:rPr>
              <w:t>；</w:t>
            </w:r>
          </w:p>
          <w:p>
            <w:pPr>
              <w:numPr>
                <w:ilvl w:val="0"/>
                <w:numId w:val="0"/>
              </w:numPr>
              <w:spacing w:line="240" w:lineRule="auto"/>
              <w:jc w:val="left"/>
              <w:rPr>
                <w:rFonts w:hint="eastAsia"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合5处及以上</w:t>
            </w:r>
          </w:p>
        </w:tc>
        <w:tc>
          <w:tcPr>
            <w:tcW w:w="1428"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p>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5000（</w:t>
            </w:r>
            <w:r>
              <w:rPr>
                <w:rFonts w:hint="eastAsia" w:ascii="楷体" w:hAnsi="楷体" w:eastAsia="楷体" w:cs="楷体"/>
                <w:b w:val="0"/>
                <w:bCs w:val="0"/>
                <w:color w:val="000000" w:themeColor="text1"/>
                <w:kern w:val="2"/>
                <w:sz w:val="24"/>
                <w:szCs w:val="24"/>
                <w:vertAlign w:val="baseline"/>
                <w:lang w:val="en-US" w:eastAsia="zh-CN" w:bidi="ar-SA"/>
                <w14:textFill>
                  <w14:solidFill>
                    <w14:schemeClr w14:val="tx1"/>
                  </w14:solidFill>
                </w14:textFill>
              </w:rPr>
              <w:t>每处1000）</w:t>
            </w:r>
          </w:p>
        </w:tc>
        <w:tc>
          <w:tcPr>
            <w:tcW w:w="788"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603"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8</w:t>
            </w:r>
          </w:p>
        </w:tc>
        <w:tc>
          <w:tcPr>
            <w:tcW w:w="1566" w:type="dxa"/>
            <w:vMerge w:val="continue"/>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p>
        </w:tc>
        <w:tc>
          <w:tcPr>
            <w:tcW w:w="5158" w:type="dxa"/>
            <w:vAlign w:val="center"/>
          </w:tcPr>
          <w:p>
            <w:pPr>
              <w:numPr>
                <w:ilvl w:val="0"/>
                <w:numId w:val="3"/>
              </w:numPr>
              <w:spacing w:line="240" w:lineRule="auto"/>
              <w:jc w:val="left"/>
              <w:rPr>
                <w:rFonts w:hint="eastAsia"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b w:val="0"/>
                <w:bCs w:val="0"/>
                <w:color w:val="000000" w:themeColor="text1"/>
                <w:sz w:val="24"/>
                <w:szCs w:val="24"/>
                <w:lang w:eastAsia="zh-CN"/>
                <w14:textFill>
                  <w14:solidFill>
                    <w14:schemeClr w14:val="tx1"/>
                  </w14:solidFill>
                </w14:textFill>
              </w:rPr>
              <w:t>高强螺栓降级使用或采用普通螺栓或断</w:t>
            </w:r>
            <w:r>
              <w:rPr>
                <w:rFonts w:hint="eastAsia" w:ascii="楷体" w:hAnsi="楷体" w:eastAsia="楷体" w:cs="楷体"/>
                <w:b w:val="0"/>
                <w:bCs w:val="0"/>
                <w:color w:val="000000" w:themeColor="text1"/>
                <w:sz w:val="24"/>
                <w:szCs w:val="24"/>
                <w:lang w:val="en-US" w:eastAsia="zh-CN"/>
                <w14:textFill>
                  <w14:solidFill>
                    <w14:schemeClr w14:val="tx1"/>
                  </w14:solidFill>
                </w14:textFill>
              </w:rPr>
              <w:t>裂；</w:t>
            </w:r>
          </w:p>
          <w:p>
            <w:pPr>
              <w:spacing w:line="240" w:lineRule="auto"/>
              <w:jc w:val="left"/>
              <w:rPr>
                <w:rFonts w:hint="eastAsia"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合2根及以上</w:t>
            </w:r>
          </w:p>
        </w:tc>
        <w:tc>
          <w:tcPr>
            <w:tcW w:w="1428"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5000（</w:t>
            </w:r>
            <w:r>
              <w:rPr>
                <w:rFonts w:hint="eastAsia" w:ascii="楷体" w:hAnsi="楷体" w:eastAsia="楷体" w:cs="楷体"/>
                <w:b w:val="0"/>
                <w:bCs w:val="0"/>
                <w:color w:val="000000" w:themeColor="text1"/>
                <w:kern w:val="2"/>
                <w:sz w:val="24"/>
                <w:szCs w:val="24"/>
                <w:vertAlign w:val="baseline"/>
                <w:lang w:val="en-US" w:eastAsia="zh-CN" w:bidi="ar-SA"/>
                <w14:textFill>
                  <w14:solidFill>
                    <w14:schemeClr w14:val="tx1"/>
                  </w14:solidFill>
                </w14:textFill>
              </w:rPr>
              <w:t>每根2000）</w:t>
            </w:r>
          </w:p>
        </w:tc>
        <w:tc>
          <w:tcPr>
            <w:tcW w:w="788"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03"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9</w:t>
            </w:r>
          </w:p>
        </w:tc>
        <w:tc>
          <w:tcPr>
            <w:tcW w:w="1566" w:type="dxa"/>
            <w:vMerge w:val="continue"/>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p>
        </w:tc>
        <w:tc>
          <w:tcPr>
            <w:tcW w:w="5158" w:type="dxa"/>
            <w:vAlign w:val="center"/>
          </w:tcPr>
          <w:p>
            <w:pPr>
              <w:numPr>
                <w:ilvl w:val="0"/>
                <w:numId w:val="0"/>
              </w:numPr>
              <w:spacing w:line="240" w:lineRule="auto"/>
              <w:jc w:val="left"/>
              <w:rPr>
                <w:rFonts w:hint="eastAsia"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1.塔吊主力杆严重变形或断裂</w:t>
            </w:r>
          </w:p>
          <w:p>
            <w:pPr>
              <w:numPr>
                <w:ilvl w:val="0"/>
                <w:numId w:val="3"/>
              </w:numPr>
              <w:spacing w:line="240" w:lineRule="auto"/>
              <w:jc w:val="left"/>
              <w:rPr>
                <w:rFonts w:hint="eastAsia"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塔吊驾驶室底板锈蚀穿孔</w:t>
            </w:r>
          </w:p>
        </w:tc>
        <w:tc>
          <w:tcPr>
            <w:tcW w:w="1428" w:type="dxa"/>
            <w:vAlign w:val="center"/>
          </w:tcPr>
          <w:p>
            <w:pPr>
              <w:spacing w:line="24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5000</w:t>
            </w:r>
          </w:p>
        </w:tc>
        <w:tc>
          <w:tcPr>
            <w:tcW w:w="788" w:type="dxa"/>
            <w:vAlign w:val="center"/>
          </w:tcPr>
          <w:p>
            <w:pPr>
              <w:spacing w:line="24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03" w:type="dxa"/>
            <w:vAlign w:val="center"/>
          </w:tcPr>
          <w:p>
            <w:pPr>
              <w:spacing w:line="24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10</w:t>
            </w:r>
          </w:p>
        </w:tc>
        <w:tc>
          <w:tcPr>
            <w:tcW w:w="1566" w:type="dxa"/>
            <w:vMerge w:val="continue"/>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p>
        </w:tc>
        <w:tc>
          <w:tcPr>
            <w:tcW w:w="5158" w:type="dxa"/>
            <w:vAlign w:val="center"/>
          </w:tcPr>
          <w:p>
            <w:pPr>
              <w:spacing w:line="240" w:lineRule="auto"/>
              <w:jc w:val="left"/>
              <w:rPr>
                <w:rFonts w:hint="eastAsia" w:ascii="楷体" w:hAnsi="楷体" w:eastAsia="楷体" w:cs="楷体"/>
                <w:b w:val="0"/>
                <w:bCs w:val="0"/>
                <w:color w:val="000000" w:themeColor="text1"/>
                <w:kern w:val="2"/>
                <w:sz w:val="24"/>
                <w:szCs w:val="24"/>
                <w:lang w:val="en-US" w:eastAsia="zh-CN" w:bidi="ar-SA"/>
                <w14:textFill>
                  <w14:solidFill>
                    <w14:schemeClr w14:val="tx1"/>
                  </w14:solidFill>
                </w14:textFill>
              </w:rPr>
            </w:pPr>
            <w:r>
              <w:rPr>
                <w:rFonts w:hint="eastAsia" w:ascii="楷体" w:hAnsi="楷体" w:eastAsia="楷体" w:cs="楷体"/>
                <w:b w:val="0"/>
                <w:bCs w:val="0"/>
                <w:color w:val="000000" w:themeColor="text1"/>
                <w:sz w:val="24"/>
                <w:szCs w:val="24"/>
                <w14:textFill>
                  <w14:solidFill>
                    <w14:schemeClr w14:val="tx1"/>
                  </w14:solidFill>
                </w14:textFill>
              </w:rPr>
              <w:t>塔吊验收合格证书缺失，塔吊未设置防攀爬措施，不满足规范要求；超过5处及以上</w:t>
            </w:r>
          </w:p>
        </w:tc>
        <w:tc>
          <w:tcPr>
            <w:tcW w:w="1428" w:type="dxa"/>
            <w:vAlign w:val="center"/>
          </w:tcPr>
          <w:p>
            <w:pPr>
              <w:spacing w:line="240" w:lineRule="auto"/>
              <w:jc w:val="center"/>
              <w:rPr>
                <w:rFonts w:hint="eastAsia" w:ascii="楷体" w:hAnsi="楷体" w:eastAsia="楷体" w:cs="楷体"/>
                <w:b w:val="0"/>
                <w:bCs w:val="0"/>
                <w:color w:val="000000" w:themeColor="text1"/>
                <w:kern w:val="2"/>
                <w:sz w:val="24"/>
                <w:szCs w:val="24"/>
                <w:vertAlign w:val="baseline"/>
                <w:lang w:val="en-US" w:eastAsia="zh-CN" w:bidi="ar-SA"/>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5000（</w:t>
            </w:r>
            <w:r>
              <w:rPr>
                <w:rFonts w:hint="eastAsia" w:ascii="楷体" w:hAnsi="楷体" w:eastAsia="楷体" w:cs="楷体"/>
                <w:b w:val="0"/>
                <w:bCs w:val="0"/>
                <w:color w:val="000000" w:themeColor="text1"/>
                <w:kern w:val="2"/>
                <w:sz w:val="24"/>
                <w:szCs w:val="24"/>
                <w:vertAlign w:val="baseline"/>
                <w:lang w:val="en-US" w:eastAsia="zh-CN" w:bidi="ar-SA"/>
                <w14:textFill>
                  <w14:solidFill>
                    <w14:schemeClr w14:val="tx1"/>
                  </w14:solidFill>
                </w14:textFill>
              </w:rPr>
              <w:t>每处1000）</w:t>
            </w:r>
          </w:p>
        </w:tc>
        <w:tc>
          <w:tcPr>
            <w:tcW w:w="788" w:type="dxa"/>
            <w:vAlign w:val="center"/>
          </w:tcPr>
          <w:p>
            <w:pPr>
              <w:spacing w:line="240" w:lineRule="auto"/>
              <w:jc w:val="center"/>
              <w:rPr>
                <w:rFonts w:hint="eastAsia" w:ascii="楷体" w:hAnsi="楷体" w:eastAsia="楷体" w:cs="楷体"/>
                <w:b w:val="0"/>
                <w:bCs w:val="0"/>
                <w:color w:val="000000" w:themeColor="text1"/>
                <w:kern w:val="2"/>
                <w:sz w:val="24"/>
                <w:szCs w:val="24"/>
                <w:vertAlign w:val="baseline"/>
                <w:lang w:val="en-US" w:eastAsia="zh-CN" w:bidi="ar-SA"/>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trPr>
        <w:tc>
          <w:tcPr>
            <w:tcW w:w="603" w:type="dxa"/>
            <w:vAlign w:val="center"/>
          </w:tcPr>
          <w:p>
            <w:pPr>
              <w:spacing w:line="24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11</w:t>
            </w:r>
          </w:p>
        </w:tc>
        <w:tc>
          <w:tcPr>
            <w:tcW w:w="1566" w:type="dxa"/>
            <w:vMerge w:val="continue"/>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p>
        </w:tc>
        <w:tc>
          <w:tcPr>
            <w:tcW w:w="5158" w:type="dxa"/>
            <w:vAlign w:val="center"/>
          </w:tcPr>
          <w:p>
            <w:pPr>
              <w:spacing w:line="240" w:lineRule="auto"/>
              <w:jc w:val="left"/>
              <w:rPr>
                <w:rFonts w:hint="eastAsia" w:ascii="楷体" w:hAnsi="楷体" w:eastAsia="楷体" w:cs="楷体"/>
                <w:b w:val="0"/>
                <w:bCs w:val="0"/>
                <w:color w:val="000000" w:themeColor="text1"/>
                <w:sz w:val="24"/>
                <w:szCs w:val="24"/>
                <w14:textFill>
                  <w14:solidFill>
                    <w14:schemeClr w14:val="tx1"/>
                  </w14:solidFill>
                </w14:textFill>
              </w:rPr>
            </w:pPr>
            <w:r>
              <w:rPr>
                <w:rFonts w:hint="eastAsia" w:ascii="楷体" w:hAnsi="楷体" w:eastAsia="楷体" w:cs="楷体"/>
                <w:b w:val="0"/>
                <w:bCs w:val="0"/>
                <w:color w:val="000000" w:themeColor="text1"/>
                <w:sz w:val="24"/>
                <w:szCs w:val="24"/>
                <w14:textFill>
                  <w14:solidFill>
                    <w14:schemeClr w14:val="tx1"/>
                  </w14:solidFill>
                </w14:textFill>
              </w:rPr>
              <w:t>1</w:t>
            </w:r>
            <w:r>
              <w:rPr>
                <w:rFonts w:hint="eastAsia" w:ascii="楷体" w:hAnsi="楷体" w:eastAsia="楷体" w:cs="楷体"/>
                <w:b w:val="0"/>
                <w:bCs w:val="0"/>
                <w:color w:val="000000" w:themeColor="text1"/>
                <w:sz w:val="24"/>
                <w:szCs w:val="24"/>
                <w:lang w:val="en-US" w:eastAsia="zh-CN"/>
                <w14:textFill>
                  <w14:solidFill>
                    <w14:schemeClr w14:val="tx1"/>
                  </w14:solidFill>
                </w14:textFill>
              </w:rPr>
              <w:t>.</w:t>
            </w:r>
            <w:r>
              <w:rPr>
                <w:rFonts w:hint="eastAsia" w:ascii="楷体" w:hAnsi="楷体" w:eastAsia="楷体" w:cs="楷体"/>
                <w:b w:val="0"/>
                <w:bCs w:val="0"/>
                <w:color w:val="000000" w:themeColor="text1"/>
                <w:sz w:val="24"/>
                <w:szCs w:val="24"/>
                <w14:textFill>
                  <w14:solidFill>
                    <w14:schemeClr w14:val="tx1"/>
                  </w14:solidFill>
                </w14:textFill>
              </w:rPr>
              <w:t>吊装时吊装区域需有信号工指挥；2</w:t>
            </w:r>
            <w:r>
              <w:rPr>
                <w:rFonts w:hint="eastAsia" w:ascii="楷体" w:hAnsi="楷体" w:eastAsia="楷体" w:cs="楷体"/>
                <w:b w:val="0"/>
                <w:bCs w:val="0"/>
                <w:color w:val="000000" w:themeColor="text1"/>
                <w:sz w:val="24"/>
                <w:szCs w:val="24"/>
                <w:lang w:val="en-US" w:eastAsia="zh-CN"/>
                <w14:textFill>
                  <w14:solidFill>
                    <w14:schemeClr w14:val="tx1"/>
                  </w14:solidFill>
                </w14:textFill>
              </w:rPr>
              <w:t>.</w:t>
            </w:r>
            <w:r>
              <w:rPr>
                <w:rFonts w:hint="eastAsia" w:ascii="楷体" w:hAnsi="楷体" w:eastAsia="楷体" w:cs="楷体"/>
                <w:b w:val="0"/>
                <w:bCs w:val="0"/>
                <w:color w:val="000000" w:themeColor="text1"/>
                <w:sz w:val="24"/>
                <w:szCs w:val="24"/>
                <w14:textFill>
                  <w14:solidFill>
                    <w14:schemeClr w14:val="tx1"/>
                  </w14:solidFill>
                </w14:textFill>
              </w:rPr>
              <w:t>材料吊装时钢丝绳与材料、钢丝绳锁扣需锁死；吊钩防滑锁扣损坏；3</w:t>
            </w:r>
            <w:r>
              <w:rPr>
                <w:rFonts w:hint="eastAsia" w:ascii="楷体" w:hAnsi="楷体" w:eastAsia="楷体" w:cs="楷体"/>
                <w:b w:val="0"/>
                <w:bCs w:val="0"/>
                <w:color w:val="000000" w:themeColor="text1"/>
                <w:sz w:val="24"/>
                <w:szCs w:val="24"/>
                <w:lang w:val="en-US" w:eastAsia="zh-CN"/>
                <w14:textFill>
                  <w14:solidFill>
                    <w14:schemeClr w14:val="tx1"/>
                  </w14:solidFill>
                </w14:textFill>
              </w:rPr>
              <w:t>.</w:t>
            </w:r>
            <w:r>
              <w:rPr>
                <w:rFonts w:hint="eastAsia" w:ascii="楷体" w:hAnsi="楷体" w:eastAsia="楷体" w:cs="楷体"/>
                <w:b w:val="0"/>
                <w:bCs w:val="0"/>
                <w:color w:val="000000" w:themeColor="text1"/>
                <w:sz w:val="24"/>
                <w:szCs w:val="24"/>
                <w14:textFill>
                  <w14:solidFill>
                    <w14:schemeClr w14:val="tx1"/>
                  </w14:solidFill>
                </w14:textFill>
              </w:rPr>
              <w:t>吊装不满足十不吊原则；4</w:t>
            </w:r>
            <w:r>
              <w:rPr>
                <w:rFonts w:hint="eastAsia" w:ascii="楷体" w:hAnsi="楷体" w:eastAsia="楷体" w:cs="楷体"/>
                <w:b w:val="0"/>
                <w:bCs w:val="0"/>
                <w:color w:val="000000" w:themeColor="text1"/>
                <w:sz w:val="24"/>
                <w:szCs w:val="24"/>
                <w:lang w:val="en-US" w:eastAsia="zh-CN"/>
                <w14:textFill>
                  <w14:solidFill>
                    <w14:schemeClr w14:val="tx1"/>
                  </w14:solidFill>
                </w14:textFill>
              </w:rPr>
              <w:t>.</w:t>
            </w:r>
            <w:r>
              <w:rPr>
                <w:rFonts w:hint="eastAsia" w:ascii="楷体" w:hAnsi="楷体" w:eastAsia="楷体" w:cs="楷体"/>
                <w:b w:val="0"/>
                <w:bCs w:val="0"/>
                <w:color w:val="000000" w:themeColor="text1"/>
                <w:sz w:val="24"/>
                <w:szCs w:val="24"/>
                <w14:textFill>
                  <w14:solidFill>
                    <w14:schemeClr w14:val="tx1"/>
                  </w14:solidFill>
                </w14:textFill>
              </w:rPr>
              <w:t>钢丝绳无破损；5</w:t>
            </w:r>
            <w:r>
              <w:rPr>
                <w:rFonts w:hint="eastAsia" w:ascii="楷体" w:hAnsi="楷体" w:eastAsia="楷体" w:cs="楷体"/>
                <w:b w:val="0"/>
                <w:bCs w:val="0"/>
                <w:color w:val="000000" w:themeColor="text1"/>
                <w:sz w:val="24"/>
                <w:szCs w:val="24"/>
                <w:lang w:val="en-US" w:eastAsia="zh-CN"/>
                <w14:textFill>
                  <w14:solidFill>
                    <w14:schemeClr w14:val="tx1"/>
                  </w14:solidFill>
                </w14:textFill>
              </w:rPr>
              <w:t>.</w:t>
            </w:r>
            <w:r>
              <w:rPr>
                <w:rFonts w:hint="eastAsia" w:ascii="楷体" w:hAnsi="楷体" w:eastAsia="楷体" w:cs="楷体"/>
                <w:b w:val="0"/>
                <w:bCs w:val="0"/>
                <w:color w:val="000000" w:themeColor="text1"/>
                <w:sz w:val="24"/>
                <w:szCs w:val="24"/>
                <w14:textFill>
                  <w14:solidFill>
                    <w14:schemeClr w14:val="tx1"/>
                  </w14:solidFill>
                </w14:textFill>
              </w:rPr>
              <w:t>零星材料吊装需采用吊斗吊运，吊装料斗不符合要求；超过5处及以上</w:t>
            </w:r>
          </w:p>
        </w:tc>
        <w:tc>
          <w:tcPr>
            <w:tcW w:w="1428"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5000（</w:t>
            </w:r>
            <w:r>
              <w:rPr>
                <w:rFonts w:hint="eastAsia" w:ascii="楷体" w:hAnsi="楷体" w:eastAsia="楷体" w:cs="楷体"/>
                <w:b w:val="0"/>
                <w:bCs w:val="0"/>
                <w:color w:val="000000" w:themeColor="text1"/>
                <w:kern w:val="2"/>
                <w:sz w:val="24"/>
                <w:szCs w:val="24"/>
                <w:vertAlign w:val="baseline"/>
                <w:lang w:val="en-US" w:eastAsia="zh-CN" w:bidi="ar-SA"/>
                <w14:textFill>
                  <w14:solidFill>
                    <w14:schemeClr w14:val="tx1"/>
                  </w14:solidFill>
                </w14:textFill>
              </w:rPr>
              <w:t>每处1000）</w:t>
            </w:r>
          </w:p>
        </w:tc>
        <w:tc>
          <w:tcPr>
            <w:tcW w:w="788"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2" w:hRule="exact"/>
        </w:trPr>
        <w:tc>
          <w:tcPr>
            <w:tcW w:w="603" w:type="dxa"/>
            <w:vAlign w:val="center"/>
          </w:tcPr>
          <w:p>
            <w:pPr>
              <w:spacing w:line="24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12</w:t>
            </w:r>
          </w:p>
        </w:tc>
        <w:tc>
          <w:tcPr>
            <w:tcW w:w="1566" w:type="dxa"/>
            <w:vMerge w:val="restart"/>
            <w:vAlign w:val="center"/>
          </w:tcPr>
          <w:p>
            <w:pPr>
              <w:spacing w:line="240" w:lineRule="auto"/>
              <w:jc w:val="both"/>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p>
          <w:p>
            <w:pPr>
              <w:spacing w:line="240" w:lineRule="auto"/>
              <w:ind w:firstLine="0" w:firstLineChars="0"/>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t>人货梯</w:t>
            </w:r>
          </w:p>
        </w:tc>
        <w:tc>
          <w:tcPr>
            <w:tcW w:w="5158" w:type="dxa"/>
            <w:vAlign w:val="center"/>
          </w:tcPr>
          <w:p>
            <w:pPr>
              <w:numPr>
                <w:ilvl w:val="0"/>
                <w:numId w:val="0"/>
              </w:numPr>
              <w:spacing w:line="240" w:lineRule="auto"/>
              <w:jc w:val="left"/>
              <w:rPr>
                <w:rFonts w:hint="eastAsia" w:ascii="楷体" w:hAnsi="楷体" w:eastAsia="楷体" w:cs="楷体"/>
                <w:b w:val="0"/>
                <w:bCs w:val="0"/>
                <w:color w:val="000000" w:themeColor="text1"/>
                <w:sz w:val="24"/>
                <w:szCs w:val="24"/>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1.</w:t>
            </w:r>
            <w:r>
              <w:rPr>
                <w:rFonts w:hint="eastAsia" w:ascii="楷体" w:hAnsi="楷体" w:eastAsia="楷体" w:cs="楷体"/>
                <w:b w:val="0"/>
                <w:bCs w:val="0"/>
                <w:color w:val="000000" w:themeColor="text1"/>
                <w:sz w:val="24"/>
                <w:szCs w:val="24"/>
                <w14:textFill>
                  <w14:solidFill>
                    <w14:schemeClr w14:val="tx1"/>
                  </w14:solidFill>
                </w14:textFill>
              </w:rPr>
              <w:t>施工电梯：年审记录齐全有效；2</w:t>
            </w:r>
            <w:r>
              <w:rPr>
                <w:rFonts w:hint="eastAsia" w:ascii="楷体" w:hAnsi="楷体" w:eastAsia="楷体" w:cs="楷体"/>
                <w:b w:val="0"/>
                <w:bCs w:val="0"/>
                <w:color w:val="000000" w:themeColor="text1"/>
                <w:sz w:val="24"/>
                <w:szCs w:val="24"/>
                <w:lang w:val="en-US" w:eastAsia="zh-CN"/>
                <w14:textFill>
                  <w14:solidFill>
                    <w14:schemeClr w14:val="tx1"/>
                  </w14:solidFill>
                </w14:textFill>
              </w:rPr>
              <w:t>.</w:t>
            </w:r>
            <w:r>
              <w:rPr>
                <w:rFonts w:hint="eastAsia" w:ascii="楷体" w:hAnsi="楷体" w:eastAsia="楷体" w:cs="楷体"/>
                <w:b w:val="0"/>
                <w:bCs w:val="0"/>
                <w:color w:val="000000" w:themeColor="text1"/>
                <w:sz w:val="24"/>
                <w:szCs w:val="24"/>
                <w14:textFill>
                  <w14:solidFill>
                    <w14:schemeClr w14:val="tx1"/>
                  </w14:solidFill>
                </w14:textFill>
              </w:rPr>
              <w:t>测试门限位器是否有效；3</w:t>
            </w:r>
            <w:r>
              <w:rPr>
                <w:rFonts w:hint="eastAsia" w:ascii="楷体" w:hAnsi="楷体" w:eastAsia="楷体" w:cs="楷体"/>
                <w:b w:val="0"/>
                <w:bCs w:val="0"/>
                <w:color w:val="000000" w:themeColor="text1"/>
                <w:sz w:val="24"/>
                <w:szCs w:val="24"/>
                <w:lang w:val="en-US" w:eastAsia="zh-CN"/>
                <w14:textFill>
                  <w14:solidFill>
                    <w14:schemeClr w14:val="tx1"/>
                  </w14:solidFill>
                </w14:textFill>
              </w:rPr>
              <w:t>.</w:t>
            </w:r>
            <w:r>
              <w:rPr>
                <w:rFonts w:hint="eastAsia" w:ascii="楷体" w:hAnsi="楷体" w:eastAsia="楷体" w:cs="楷体"/>
                <w:b w:val="0"/>
                <w:bCs w:val="0"/>
                <w:color w:val="000000" w:themeColor="text1"/>
                <w:sz w:val="24"/>
                <w:szCs w:val="24"/>
                <w14:textFill>
                  <w14:solidFill>
                    <w14:schemeClr w14:val="tx1"/>
                  </w14:solidFill>
                </w14:textFill>
              </w:rPr>
              <w:t>防坠器年检有效;</w:t>
            </w:r>
            <w:r>
              <w:rPr>
                <w:rFonts w:hint="eastAsia" w:ascii="楷体" w:hAnsi="楷体" w:eastAsia="楷体" w:cs="楷体"/>
                <w:b w:val="0"/>
                <w:bCs w:val="0"/>
                <w:color w:val="000000" w:themeColor="text1"/>
                <w:sz w:val="24"/>
                <w:szCs w:val="24"/>
                <w:lang w:val="en-US" w:eastAsia="zh-CN"/>
                <w14:textFill>
                  <w14:solidFill>
                    <w14:schemeClr w14:val="tx1"/>
                  </w14:solidFill>
                </w14:textFill>
              </w:rPr>
              <w:t>4.</w:t>
            </w:r>
            <w:r>
              <w:rPr>
                <w:rFonts w:hint="eastAsia" w:ascii="楷体" w:hAnsi="楷体" w:eastAsia="楷体" w:cs="楷体"/>
                <w:b w:val="0"/>
                <w:bCs w:val="0"/>
                <w:color w:val="000000" w:themeColor="text1"/>
                <w:sz w:val="24"/>
                <w:szCs w:val="24"/>
                <w14:textFill>
                  <w14:solidFill>
                    <w14:schemeClr w14:val="tx1"/>
                  </w14:solidFill>
                </w14:textFill>
              </w:rPr>
              <w:t>施工电梯未安装超载限制器或失效</w:t>
            </w:r>
            <w:r>
              <w:rPr>
                <w:rFonts w:hint="eastAsia" w:ascii="楷体" w:hAnsi="楷体" w:eastAsia="楷体" w:cs="楷体"/>
                <w:b w:val="0"/>
                <w:bCs w:val="0"/>
                <w:color w:val="000000" w:themeColor="text1"/>
                <w:sz w:val="24"/>
                <w:szCs w:val="24"/>
                <w:lang w:val="en-US" w:eastAsia="zh-CN"/>
                <w14:textFill>
                  <w14:solidFill>
                    <w14:schemeClr w14:val="tx1"/>
                  </w14:solidFill>
                </w14:textFill>
              </w:rPr>
              <w:t>；5.</w:t>
            </w:r>
            <w:r>
              <w:rPr>
                <w:rFonts w:hint="eastAsia" w:ascii="楷体" w:hAnsi="楷体" w:eastAsia="楷体" w:cs="楷体"/>
                <w:b w:val="0"/>
                <w:bCs w:val="0"/>
                <w:color w:val="000000" w:themeColor="text1"/>
                <w:sz w:val="24"/>
                <w:szCs w:val="24"/>
                <w14:textFill>
                  <w14:solidFill>
                    <w14:schemeClr w14:val="tx1"/>
                  </w14:solidFill>
                </w14:textFill>
              </w:rPr>
              <w:t>施工电梯上下行限位</w:t>
            </w:r>
            <w:r>
              <w:rPr>
                <w:rFonts w:hint="eastAsia" w:ascii="楷体" w:hAnsi="楷体" w:eastAsia="楷体" w:cs="楷体"/>
                <w:b w:val="0"/>
                <w:bCs w:val="0"/>
                <w:color w:val="000000" w:themeColor="text1"/>
                <w:sz w:val="24"/>
                <w:szCs w:val="24"/>
                <w:lang w:val="en-US" w:eastAsia="zh-CN"/>
                <w14:textFill>
                  <w14:solidFill>
                    <w14:schemeClr w14:val="tx1"/>
                  </w14:solidFill>
                </w14:textFill>
              </w:rPr>
              <w:t>；6.</w:t>
            </w:r>
            <w:r>
              <w:rPr>
                <w:rFonts w:hint="eastAsia" w:ascii="楷体" w:hAnsi="楷体" w:eastAsia="楷体" w:cs="楷体"/>
                <w:b w:val="0"/>
                <w:bCs w:val="0"/>
                <w:color w:val="000000" w:themeColor="text1"/>
                <w:sz w:val="24"/>
                <w:szCs w:val="24"/>
                <w14:textFill>
                  <w14:solidFill>
                    <w14:schemeClr w14:val="tx1"/>
                  </w14:solidFill>
                </w14:textFill>
              </w:rPr>
              <w:t>极限限位失效</w:t>
            </w:r>
            <w:r>
              <w:rPr>
                <w:rFonts w:hint="eastAsia" w:ascii="楷体" w:hAnsi="楷体" w:eastAsia="楷体" w:cs="楷体"/>
                <w:b w:val="0"/>
                <w:bCs w:val="0"/>
                <w:color w:val="000000" w:themeColor="text1"/>
                <w:sz w:val="24"/>
                <w:szCs w:val="24"/>
                <w:lang w:val="en-US" w:eastAsia="zh-CN"/>
                <w14:textFill>
                  <w14:solidFill>
                    <w14:schemeClr w14:val="tx1"/>
                  </w14:solidFill>
                </w14:textFill>
              </w:rPr>
              <w:t>；7.</w:t>
            </w:r>
            <w:r>
              <w:rPr>
                <w:rFonts w:hint="eastAsia" w:ascii="楷体" w:hAnsi="楷体" w:eastAsia="楷体" w:cs="楷体"/>
                <w:b w:val="0"/>
                <w:bCs w:val="0"/>
                <w:color w:val="000000" w:themeColor="text1"/>
                <w:sz w:val="24"/>
                <w:szCs w:val="24"/>
                <w14:textFill>
                  <w14:solidFill>
                    <w14:schemeClr w14:val="tx1"/>
                  </w14:solidFill>
                </w14:textFill>
              </w:rPr>
              <w:t>楼层层门未关闭</w:t>
            </w:r>
          </w:p>
          <w:p>
            <w:pPr>
              <w:numPr>
                <w:ilvl w:val="0"/>
                <w:numId w:val="0"/>
              </w:numPr>
              <w:spacing w:line="240" w:lineRule="auto"/>
              <w:jc w:val="left"/>
              <w:rPr>
                <w:rFonts w:hint="eastAsia"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合</w:t>
            </w:r>
            <w:r>
              <w:rPr>
                <w:rFonts w:hint="eastAsia" w:ascii="楷体" w:hAnsi="楷体" w:eastAsia="楷体" w:cs="楷体"/>
                <w:b w:val="0"/>
                <w:bCs w:val="0"/>
                <w:color w:val="000000" w:themeColor="text1"/>
                <w:sz w:val="24"/>
                <w:szCs w:val="24"/>
                <w14:textFill>
                  <w14:solidFill>
                    <w14:schemeClr w14:val="tx1"/>
                  </w14:solidFill>
                </w14:textFill>
              </w:rPr>
              <w:t>超过5处及以上</w:t>
            </w:r>
          </w:p>
        </w:tc>
        <w:tc>
          <w:tcPr>
            <w:tcW w:w="1428"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p>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p>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5000（</w:t>
            </w:r>
            <w:r>
              <w:rPr>
                <w:rFonts w:hint="eastAsia" w:ascii="楷体" w:hAnsi="楷体" w:eastAsia="楷体" w:cs="楷体"/>
                <w:b w:val="0"/>
                <w:bCs w:val="0"/>
                <w:color w:val="000000" w:themeColor="text1"/>
                <w:kern w:val="2"/>
                <w:sz w:val="24"/>
                <w:szCs w:val="24"/>
                <w:vertAlign w:val="baseline"/>
                <w:lang w:val="en-US" w:eastAsia="zh-CN" w:bidi="ar-SA"/>
                <w14:textFill>
                  <w14:solidFill>
                    <w14:schemeClr w14:val="tx1"/>
                  </w14:solidFill>
                </w14:textFill>
              </w:rPr>
              <w:t>每处1000）</w:t>
            </w:r>
          </w:p>
        </w:tc>
        <w:tc>
          <w:tcPr>
            <w:tcW w:w="788"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p>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p>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3" w:type="dxa"/>
            <w:vAlign w:val="center"/>
          </w:tcPr>
          <w:p>
            <w:pPr>
              <w:spacing w:line="240" w:lineRule="auto"/>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13</w:t>
            </w:r>
          </w:p>
        </w:tc>
        <w:tc>
          <w:tcPr>
            <w:tcW w:w="1566" w:type="dxa"/>
            <w:vMerge w:val="continue"/>
            <w:vAlign w:val="center"/>
          </w:tcPr>
          <w:p>
            <w:pPr>
              <w:spacing w:line="240" w:lineRule="auto"/>
              <w:jc w:val="center"/>
              <w:rPr>
                <w:rFonts w:hint="eastAsia" w:ascii="楷体" w:hAnsi="楷体" w:eastAsia="楷体" w:cs="楷体"/>
                <w:b/>
                <w:bCs/>
                <w:sz w:val="24"/>
                <w:szCs w:val="24"/>
                <w:vertAlign w:val="baseline"/>
                <w:lang w:val="en-US" w:eastAsia="zh-CN"/>
              </w:rPr>
            </w:pPr>
          </w:p>
        </w:tc>
        <w:tc>
          <w:tcPr>
            <w:tcW w:w="5158" w:type="dxa"/>
            <w:vAlign w:val="center"/>
          </w:tcPr>
          <w:p>
            <w:pPr>
              <w:numPr>
                <w:ilvl w:val="0"/>
                <w:numId w:val="0"/>
              </w:numPr>
              <w:spacing w:line="240" w:lineRule="auto"/>
              <w:jc w:val="left"/>
              <w:rPr>
                <w:rFonts w:hint="default"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1.螺栓缺失或无螺帽2个以上；2.防冲顶节没有安装</w:t>
            </w:r>
            <w:r>
              <w:rPr>
                <w:rFonts w:hint="eastAsia" w:ascii="楷体" w:hAnsi="楷体" w:eastAsia="楷体" w:cs="楷体"/>
                <w:b w:val="0"/>
                <w:bCs w:val="0"/>
                <w:color w:val="000000" w:themeColor="text1"/>
                <w:sz w:val="24"/>
                <w:szCs w:val="24"/>
                <w14:textFill>
                  <w14:solidFill>
                    <w14:schemeClr w14:val="tx1"/>
                  </w14:solidFill>
                </w14:textFill>
              </w:rPr>
              <w:t>；</w:t>
            </w:r>
            <w:r>
              <w:rPr>
                <w:rFonts w:hint="eastAsia" w:ascii="楷体" w:hAnsi="楷体" w:eastAsia="楷体" w:cs="楷体"/>
                <w:b w:val="0"/>
                <w:bCs w:val="0"/>
                <w:color w:val="000000" w:themeColor="text1"/>
                <w:sz w:val="24"/>
                <w:szCs w:val="24"/>
                <w:lang w:val="en-US" w:eastAsia="zh-CN"/>
                <w14:textFill>
                  <w14:solidFill>
                    <w14:schemeClr w14:val="tx1"/>
                  </w14:solidFill>
                </w14:textFill>
              </w:rPr>
              <w:t>合2个以上</w:t>
            </w:r>
          </w:p>
        </w:tc>
        <w:tc>
          <w:tcPr>
            <w:tcW w:w="1428" w:type="dxa"/>
            <w:vAlign w:val="center"/>
          </w:tcPr>
          <w:p>
            <w:pPr>
              <w:spacing w:line="24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5000（</w:t>
            </w:r>
            <w:r>
              <w:rPr>
                <w:rFonts w:hint="eastAsia" w:ascii="楷体" w:hAnsi="楷体" w:eastAsia="楷体" w:cs="楷体"/>
                <w:b w:val="0"/>
                <w:bCs w:val="0"/>
                <w:color w:val="000000" w:themeColor="text1"/>
                <w:kern w:val="2"/>
                <w:sz w:val="24"/>
                <w:szCs w:val="24"/>
                <w:vertAlign w:val="baseline"/>
                <w:lang w:val="en-US" w:eastAsia="zh-CN" w:bidi="ar-SA"/>
                <w14:textFill>
                  <w14:solidFill>
                    <w14:schemeClr w14:val="tx1"/>
                  </w14:solidFill>
                </w14:textFill>
              </w:rPr>
              <w:t>每处2000）</w:t>
            </w:r>
          </w:p>
        </w:tc>
        <w:tc>
          <w:tcPr>
            <w:tcW w:w="788" w:type="dxa"/>
            <w:vAlign w:val="center"/>
          </w:tcPr>
          <w:p>
            <w:pPr>
              <w:spacing w:line="24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3" w:type="dxa"/>
            <w:vAlign w:val="center"/>
          </w:tcPr>
          <w:p>
            <w:pPr>
              <w:spacing w:line="240" w:lineRule="auto"/>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14</w:t>
            </w:r>
          </w:p>
        </w:tc>
        <w:tc>
          <w:tcPr>
            <w:tcW w:w="1566" w:type="dxa"/>
            <w:vAlign w:val="center"/>
          </w:tcPr>
          <w:p>
            <w:pPr>
              <w:spacing w:line="240" w:lineRule="auto"/>
              <w:ind w:firstLine="0" w:firstLineChars="0"/>
              <w:jc w:val="center"/>
              <w:rPr>
                <w:rFonts w:hint="eastAsia" w:ascii="楷体" w:hAnsi="楷体" w:eastAsia="楷体" w:cs="楷体"/>
                <w:b/>
                <w:bCs/>
                <w:sz w:val="24"/>
                <w:szCs w:val="24"/>
                <w:vertAlign w:val="baseline"/>
                <w:lang w:val="en-US" w:eastAsia="zh-CN"/>
              </w:rPr>
            </w:pPr>
            <w:r>
              <w:rPr>
                <w:rFonts w:hint="eastAsia" w:ascii="楷体" w:hAnsi="楷体" w:eastAsia="楷体" w:cs="楷体"/>
                <w:b/>
                <w:bCs/>
                <w:sz w:val="24"/>
                <w:szCs w:val="24"/>
                <w:vertAlign w:val="baseline"/>
                <w:lang w:val="en-US" w:eastAsia="zh-CN"/>
              </w:rPr>
              <w:t>悬挑拉杆式外脚手架</w:t>
            </w:r>
          </w:p>
        </w:tc>
        <w:tc>
          <w:tcPr>
            <w:tcW w:w="5158" w:type="dxa"/>
            <w:vAlign w:val="center"/>
          </w:tcPr>
          <w:p>
            <w:pPr>
              <w:spacing w:line="240" w:lineRule="auto"/>
              <w:jc w:val="left"/>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14:textFill>
                  <w14:solidFill>
                    <w14:schemeClr w14:val="tx1"/>
                  </w14:solidFill>
                </w14:textFill>
              </w:rPr>
              <w:t>悬挑长度大于 1800mm 小于 3000mm 时，没有设置内外二根钢筋拉杆</w:t>
            </w:r>
            <w:r>
              <w:rPr>
                <w:rFonts w:hint="eastAsia" w:ascii="楷体" w:hAnsi="楷体" w:eastAsia="楷体" w:cs="楷体"/>
                <w:b w:val="0"/>
                <w:bCs w:val="0"/>
                <w:color w:val="000000" w:themeColor="text1"/>
                <w:sz w:val="24"/>
                <w:szCs w:val="24"/>
                <w:lang w:val="en-US" w:eastAsia="zh-CN"/>
                <w14:textFill>
                  <w14:solidFill>
                    <w14:schemeClr w14:val="tx1"/>
                  </w14:solidFill>
                </w14:textFill>
              </w:rPr>
              <w:t>；</w:t>
            </w:r>
            <w:r>
              <w:rPr>
                <w:rFonts w:hint="eastAsia" w:ascii="楷体" w:hAnsi="楷体" w:eastAsia="楷体" w:cs="楷体"/>
                <w:b w:val="0"/>
                <w:bCs w:val="0"/>
                <w:color w:val="000000" w:themeColor="text1"/>
                <w:sz w:val="24"/>
                <w:szCs w:val="24"/>
                <w14:textFill>
                  <w14:solidFill>
                    <w14:schemeClr w14:val="tx1"/>
                  </w14:solidFill>
                </w14:textFill>
              </w:rPr>
              <w:t>悬挑长度大于3000mm时，没有进行特殊部位处理。</w:t>
            </w:r>
            <w:r>
              <w:rPr>
                <w:rFonts w:hint="eastAsia" w:ascii="楷体" w:hAnsi="楷体" w:eastAsia="楷体" w:cs="楷体"/>
                <w:b w:val="0"/>
                <w:bCs w:val="0"/>
                <w:color w:val="000000" w:themeColor="text1"/>
                <w:sz w:val="24"/>
                <w:szCs w:val="24"/>
                <w:lang w:val="en-US" w:eastAsia="zh-CN"/>
                <w14:textFill>
                  <w14:solidFill>
                    <w14:schemeClr w14:val="tx1"/>
                  </w14:solidFill>
                </w14:textFill>
              </w:rPr>
              <w:t>合3处以上</w:t>
            </w:r>
          </w:p>
        </w:tc>
        <w:tc>
          <w:tcPr>
            <w:tcW w:w="1428"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5000（</w:t>
            </w:r>
            <w:r>
              <w:rPr>
                <w:rFonts w:hint="eastAsia" w:ascii="楷体" w:hAnsi="楷体" w:eastAsia="楷体" w:cs="楷体"/>
                <w:b w:val="0"/>
                <w:bCs w:val="0"/>
                <w:color w:val="000000" w:themeColor="text1"/>
                <w:kern w:val="2"/>
                <w:sz w:val="24"/>
                <w:szCs w:val="24"/>
                <w:vertAlign w:val="baseline"/>
                <w:lang w:val="en-US" w:eastAsia="zh-CN" w:bidi="ar-SA"/>
                <w14:textFill>
                  <w14:solidFill>
                    <w14:schemeClr w14:val="tx1"/>
                  </w14:solidFill>
                </w14:textFill>
              </w:rPr>
              <w:t>每处1000）</w:t>
            </w:r>
          </w:p>
        </w:tc>
        <w:tc>
          <w:tcPr>
            <w:tcW w:w="788"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03" w:type="dxa"/>
            <w:vAlign w:val="center"/>
          </w:tcPr>
          <w:p>
            <w:pPr>
              <w:spacing w:line="240" w:lineRule="auto"/>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15</w:t>
            </w:r>
          </w:p>
        </w:tc>
        <w:tc>
          <w:tcPr>
            <w:tcW w:w="1566" w:type="dxa"/>
            <w:vAlign w:val="center"/>
          </w:tcPr>
          <w:p>
            <w:pPr>
              <w:spacing w:line="240" w:lineRule="auto"/>
              <w:ind w:firstLine="241" w:firstLineChars="100"/>
              <w:jc w:val="center"/>
              <w:rPr>
                <w:rFonts w:hint="eastAsia" w:ascii="楷体" w:hAnsi="楷体" w:eastAsia="楷体" w:cs="楷体"/>
                <w:b/>
                <w:bCs/>
                <w:sz w:val="24"/>
                <w:szCs w:val="24"/>
                <w:vertAlign w:val="baseline"/>
                <w:lang w:val="en-US" w:eastAsia="zh-CN"/>
              </w:rPr>
            </w:pPr>
            <w:r>
              <w:rPr>
                <w:rFonts w:hint="eastAsia" w:ascii="楷体" w:hAnsi="楷体" w:eastAsia="楷体" w:cs="楷体"/>
                <w:b/>
                <w:bCs/>
                <w:sz w:val="24"/>
                <w:szCs w:val="24"/>
                <w:vertAlign w:val="baseline"/>
                <w:lang w:val="en-US" w:eastAsia="zh-CN"/>
              </w:rPr>
              <w:t>悬挑工字钢普通外架</w:t>
            </w:r>
          </w:p>
        </w:tc>
        <w:tc>
          <w:tcPr>
            <w:tcW w:w="5158" w:type="dxa"/>
            <w:vAlign w:val="center"/>
          </w:tcPr>
          <w:p>
            <w:pPr>
              <w:spacing w:line="240" w:lineRule="auto"/>
              <w:jc w:val="left"/>
              <w:rPr>
                <w:rFonts w:hint="eastAsia"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b w:val="0"/>
                <w:bCs w:val="0"/>
                <w:color w:val="000000" w:themeColor="text1"/>
                <w:sz w:val="24"/>
                <w:szCs w:val="24"/>
                <w14:textFill>
                  <w14:solidFill>
                    <w14:schemeClr w14:val="tx1"/>
                  </w14:solidFill>
                </w14:textFill>
              </w:rPr>
              <w:t>悬挑长度大于</w:t>
            </w:r>
            <w:r>
              <w:rPr>
                <w:rFonts w:hint="eastAsia" w:ascii="楷体" w:hAnsi="楷体" w:eastAsia="楷体" w:cs="楷体"/>
                <w:b w:val="0"/>
                <w:bCs w:val="0"/>
                <w:color w:val="000000" w:themeColor="text1"/>
                <w:sz w:val="24"/>
                <w:szCs w:val="24"/>
                <w:lang w:val="en-US" w:eastAsia="zh-CN"/>
                <w14:textFill>
                  <w14:solidFill>
                    <w14:schemeClr w14:val="tx1"/>
                  </w14:solidFill>
                </w14:textFill>
              </w:rPr>
              <w:t>2</w:t>
            </w:r>
            <w:r>
              <w:rPr>
                <w:rFonts w:hint="eastAsia" w:ascii="楷体" w:hAnsi="楷体" w:eastAsia="楷体" w:cs="楷体"/>
                <w:b w:val="0"/>
                <w:bCs w:val="0"/>
                <w:color w:val="000000" w:themeColor="text1"/>
                <w:sz w:val="24"/>
                <w:szCs w:val="24"/>
                <w14:textFill>
                  <w14:solidFill>
                    <w14:schemeClr w14:val="tx1"/>
                  </w14:solidFill>
                </w14:textFill>
              </w:rPr>
              <w:t>000mm时，没有进行</w:t>
            </w:r>
            <w:r>
              <w:rPr>
                <w:rFonts w:hint="eastAsia" w:ascii="楷体" w:hAnsi="楷体" w:eastAsia="楷体" w:cs="楷体"/>
                <w:b w:val="0"/>
                <w:bCs w:val="0"/>
                <w:color w:val="000000" w:themeColor="text1"/>
                <w:sz w:val="24"/>
                <w:szCs w:val="24"/>
                <w:lang w:val="en-US" w:eastAsia="zh-CN"/>
                <w14:textFill>
                  <w14:solidFill>
                    <w14:schemeClr w14:val="tx1"/>
                  </w14:solidFill>
                </w14:textFill>
              </w:rPr>
              <w:t>特殊处理，如加设斜撑杆或斜拉杆，3处以上</w:t>
            </w:r>
          </w:p>
        </w:tc>
        <w:tc>
          <w:tcPr>
            <w:tcW w:w="1428"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5000（</w:t>
            </w:r>
            <w:r>
              <w:rPr>
                <w:rFonts w:hint="eastAsia" w:ascii="楷体" w:hAnsi="楷体" w:eastAsia="楷体" w:cs="楷体"/>
                <w:b w:val="0"/>
                <w:bCs w:val="0"/>
                <w:color w:val="000000" w:themeColor="text1"/>
                <w:kern w:val="2"/>
                <w:sz w:val="24"/>
                <w:szCs w:val="24"/>
                <w:vertAlign w:val="baseline"/>
                <w:lang w:val="en-US" w:eastAsia="zh-CN" w:bidi="ar-SA"/>
                <w14:textFill>
                  <w14:solidFill>
                    <w14:schemeClr w14:val="tx1"/>
                  </w14:solidFill>
                </w14:textFill>
              </w:rPr>
              <w:t>每处1000）</w:t>
            </w:r>
          </w:p>
        </w:tc>
        <w:tc>
          <w:tcPr>
            <w:tcW w:w="788"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03" w:type="dxa"/>
            <w:vAlign w:val="center"/>
          </w:tcPr>
          <w:p>
            <w:pPr>
              <w:spacing w:line="24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16</w:t>
            </w:r>
          </w:p>
        </w:tc>
        <w:tc>
          <w:tcPr>
            <w:tcW w:w="1566" w:type="dxa"/>
            <w:vAlign w:val="center"/>
          </w:tcPr>
          <w:p>
            <w:pPr>
              <w:spacing w:line="240" w:lineRule="auto"/>
              <w:ind w:firstLine="0" w:firstLineChars="0"/>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t>爬架</w:t>
            </w:r>
          </w:p>
        </w:tc>
        <w:tc>
          <w:tcPr>
            <w:tcW w:w="5158" w:type="dxa"/>
            <w:vAlign w:val="center"/>
          </w:tcPr>
          <w:p>
            <w:pPr>
              <w:spacing w:line="240" w:lineRule="auto"/>
              <w:jc w:val="left"/>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14:textFill>
                  <w14:solidFill>
                    <w14:schemeClr w14:val="tx1"/>
                  </w14:solidFill>
                </w14:textFill>
              </w:rPr>
              <w:t>爬升脚手架提升设备与防坠装置没有独立固定在建筑物上</w:t>
            </w:r>
            <w:r>
              <w:rPr>
                <w:rFonts w:hint="eastAsia" w:ascii="楷体" w:hAnsi="楷体" w:eastAsia="楷体" w:cs="楷体"/>
                <w:b w:val="0"/>
                <w:bCs w:val="0"/>
                <w:color w:val="000000" w:themeColor="text1"/>
                <w:sz w:val="24"/>
                <w:szCs w:val="24"/>
                <w:lang w:eastAsia="zh-CN"/>
                <w14:textFill>
                  <w14:solidFill>
                    <w14:schemeClr w14:val="tx1"/>
                  </w14:solidFill>
                </w14:textFill>
              </w:rPr>
              <w:t>，</w:t>
            </w:r>
            <w:r>
              <w:rPr>
                <w:rFonts w:hint="eastAsia" w:ascii="楷体" w:hAnsi="楷体" w:eastAsia="楷体" w:cs="楷体"/>
                <w:b w:val="0"/>
                <w:bCs w:val="0"/>
                <w:color w:val="000000" w:themeColor="text1"/>
                <w:sz w:val="24"/>
                <w:szCs w:val="24"/>
                <w:lang w:val="en-US" w:eastAsia="zh-CN"/>
                <w14:textFill>
                  <w14:solidFill>
                    <w14:schemeClr w14:val="tx1"/>
                  </w14:solidFill>
                </w14:textFill>
              </w:rPr>
              <w:t>3处以上</w:t>
            </w:r>
          </w:p>
        </w:tc>
        <w:tc>
          <w:tcPr>
            <w:tcW w:w="1428"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5000（</w:t>
            </w:r>
            <w:r>
              <w:rPr>
                <w:rFonts w:hint="eastAsia" w:ascii="楷体" w:hAnsi="楷体" w:eastAsia="楷体" w:cs="楷体"/>
                <w:b w:val="0"/>
                <w:bCs w:val="0"/>
                <w:color w:val="000000" w:themeColor="text1"/>
                <w:kern w:val="2"/>
                <w:sz w:val="24"/>
                <w:szCs w:val="24"/>
                <w:vertAlign w:val="baseline"/>
                <w:lang w:val="en-US" w:eastAsia="zh-CN" w:bidi="ar-SA"/>
                <w14:textFill>
                  <w14:solidFill>
                    <w14:schemeClr w14:val="tx1"/>
                  </w14:solidFill>
                </w14:textFill>
              </w:rPr>
              <w:t>每处1000）</w:t>
            </w:r>
          </w:p>
        </w:tc>
        <w:tc>
          <w:tcPr>
            <w:tcW w:w="788"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03" w:type="dxa"/>
            <w:vAlign w:val="center"/>
          </w:tcPr>
          <w:p>
            <w:pPr>
              <w:spacing w:line="24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17</w:t>
            </w:r>
          </w:p>
        </w:tc>
        <w:tc>
          <w:tcPr>
            <w:tcW w:w="1566" w:type="dxa"/>
            <w:vAlign w:val="center"/>
          </w:tcPr>
          <w:p>
            <w:pPr>
              <w:spacing w:line="24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t>四口五临边</w:t>
            </w:r>
          </w:p>
        </w:tc>
        <w:tc>
          <w:tcPr>
            <w:tcW w:w="5158" w:type="dxa"/>
            <w:vAlign w:val="center"/>
          </w:tcPr>
          <w:p>
            <w:pPr>
              <w:spacing w:line="240" w:lineRule="auto"/>
              <w:jc w:val="left"/>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14:textFill>
                  <w14:solidFill>
                    <w14:schemeClr w14:val="tx1"/>
                  </w14:solidFill>
                </w14:textFill>
              </w:rPr>
              <w:t>单次检查临边、洞口（坠落高度大于2.8m）防护缺失达到3处</w:t>
            </w:r>
            <w:r>
              <w:rPr>
                <w:rFonts w:hint="eastAsia" w:ascii="楷体" w:hAnsi="楷体" w:eastAsia="楷体" w:cs="楷体"/>
                <w:b w:val="0"/>
                <w:bCs w:val="0"/>
                <w:color w:val="000000" w:themeColor="text1"/>
                <w:sz w:val="24"/>
                <w:szCs w:val="24"/>
                <w:lang w:val="en-US" w:eastAsia="zh-CN"/>
                <w14:textFill>
                  <w14:solidFill>
                    <w14:schemeClr w14:val="tx1"/>
                  </w14:solidFill>
                </w14:textFill>
              </w:rPr>
              <w:t>及以上</w:t>
            </w:r>
          </w:p>
        </w:tc>
        <w:tc>
          <w:tcPr>
            <w:tcW w:w="1428"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10000</w:t>
            </w:r>
          </w:p>
        </w:tc>
        <w:tc>
          <w:tcPr>
            <w:tcW w:w="788"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trPr>
        <w:tc>
          <w:tcPr>
            <w:tcW w:w="603" w:type="dxa"/>
            <w:vAlign w:val="center"/>
          </w:tcPr>
          <w:p>
            <w:pPr>
              <w:spacing w:line="24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18</w:t>
            </w:r>
          </w:p>
        </w:tc>
        <w:tc>
          <w:tcPr>
            <w:tcW w:w="1566" w:type="dxa"/>
            <w:vAlign w:val="center"/>
          </w:tcPr>
          <w:p>
            <w:pPr>
              <w:spacing w:line="24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t>卸料平台</w:t>
            </w:r>
          </w:p>
        </w:tc>
        <w:tc>
          <w:tcPr>
            <w:tcW w:w="5158" w:type="dxa"/>
            <w:vAlign w:val="center"/>
          </w:tcPr>
          <w:p>
            <w:pPr>
              <w:numPr>
                <w:ilvl w:val="0"/>
                <w:numId w:val="4"/>
              </w:numPr>
              <w:spacing w:line="240" w:lineRule="auto"/>
              <w:jc w:val="left"/>
              <w:rPr>
                <w:rFonts w:hint="eastAsia" w:ascii="楷体" w:hAnsi="楷体" w:eastAsia="楷体" w:cs="楷体"/>
                <w:b w:val="0"/>
                <w:bCs w:val="0"/>
                <w:color w:val="000000" w:themeColor="text1"/>
                <w:sz w:val="24"/>
                <w:szCs w:val="24"/>
                <w:vertAlign w:val="baseline"/>
                <w14:textFill>
                  <w14:solidFill>
                    <w14:schemeClr w14:val="tx1"/>
                  </w14:solidFill>
                </w14:textFill>
              </w:rPr>
            </w:pPr>
            <w:r>
              <w:rPr>
                <w:rFonts w:hint="eastAsia" w:ascii="楷体" w:hAnsi="楷体" w:eastAsia="楷体" w:cs="楷体"/>
                <w:b w:val="0"/>
                <w:bCs w:val="0"/>
                <w:color w:val="000000" w:themeColor="text1"/>
                <w:sz w:val="24"/>
                <w:szCs w:val="24"/>
                <w:vertAlign w:val="baseline"/>
                <w14:textFill>
                  <w14:solidFill>
                    <w14:schemeClr w14:val="tx1"/>
                  </w14:solidFill>
                </w14:textFill>
              </w:rPr>
              <w:t>卸料平台存在超载现象或有坠落风险；</w:t>
            </w:r>
          </w:p>
          <w:p>
            <w:pPr>
              <w:numPr>
                <w:ilvl w:val="0"/>
                <w:numId w:val="4"/>
              </w:numPr>
              <w:spacing w:line="240" w:lineRule="auto"/>
              <w:jc w:val="left"/>
              <w:rPr>
                <w:rFonts w:hint="eastAsia" w:ascii="楷体" w:hAnsi="楷体" w:eastAsia="楷体" w:cs="楷体"/>
                <w:b w:val="0"/>
                <w:bCs w:val="0"/>
                <w:color w:val="000000" w:themeColor="text1"/>
                <w:sz w:val="24"/>
                <w:szCs w:val="24"/>
                <w:vertAlign w:val="baseline"/>
                <w14:textFill>
                  <w14:solidFill>
                    <w14:schemeClr w14:val="tx1"/>
                  </w14:solidFill>
                </w14:textFill>
              </w:rPr>
            </w:pPr>
            <w:r>
              <w:rPr>
                <w:rFonts w:hint="eastAsia" w:ascii="楷体" w:hAnsi="楷体" w:eastAsia="楷体" w:cs="楷体"/>
                <w:b w:val="0"/>
                <w:bCs w:val="0"/>
                <w:color w:val="000000" w:themeColor="text1"/>
                <w:sz w:val="24"/>
                <w:szCs w:val="24"/>
                <w:vertAlign w:val="baseline"/>
                <w14:textFill>
                  <w14:solidFill>
                    <w14:schemeClr w14:val="tx1"/>
                  </w14:solidFill>
                </w14:textFill>
              </w:rPr>
              <w:t>卸料平台严禁与外架相连，悬挑梁严禁搁置在外架上；存在2处及以上</w:t>
            </w:r>
          </w:p>
        </w:tc>
        <w:tc>
          <w:tcPr>
            <w:tcW w:w="1428"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5000（</w:t>
            </w:r>
            <w:r>
              <w:rPr>
                <w:rFonts w:hint="eastAsia" w:ascii="楷体" w:hAnsi="楷体" w:eastAsia="楷体" w:cs="楷体"/>
                <w:b w:val="0"/>
                <w:bCs w:val="0"/>
                <w:color w:val="000000" w:themeColor="text1"/>
                <w:kern w:val="2"/>
                <w:sz w:val="24"/>
                <w:szCs w:val="24"/>
                <w:vertAlign w:val="baseline"/>
                <w:lang w:val="en-US" w:eastAsia="zh-CN" w:bidi="ar-SA"/>
                <w14:textFill>
                  <w14:solidFill>
                    <w14:schemeClr w14:val="tx1"/>
                  </w14:solidFill>
                </w14:textFill>
              </w:rPr>
              <w:t>每处2000）</w:t>
            </w:r>
          </w:p>
        </w:tc>
        <w:tc>
          <w:tcPr>
            <w:tcW w:w="788"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03" w:type="dxa"/>
            <w:vAlign w:val="center"/>
          </w:tcPr>
          <w:p>
            <w:pPr>
              <w:spacing w:line="24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19</w:t>
            </w:r>
          </w:p>
        </w:tc>
        <w:tc>
          <w:tcPr>
            <w:tcW w:w="1566" w:type="dxa"/>
            <w:vAlign w:val="center"/>
          </w:tcPr>
          <w:p>
            <w:pPr>
              <w:spacing w:line="240" w:lineRule="auto"/>
              <w:ind w:firstLine="0" w:firstLineChars="0"/>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t>临电</w:t>
            </w:r>
          </w:p>
        </w:tc>
        <w:tc>
          <w:tcPr>
            <w:tcW w:w="5158" w:type="dxa"/>
            <w:vAlign w:val="center"/>
          </w:tcPr>
          <w:p>
            <w:pPr>
              <w:spacing w:line="240" w:lineRule="auto"/>
              <w:jc w:val="left"/>
              <w:rPr>
                <w:rFonts w:hint="eastAsia" w:ascii="楷体" w:hAnsi="楷体" w:eastAsia="楷体" w:cs="楷体"/>
                <w:b w:val="0"/>
                <w:bCs w:val="0"/>
                <w:color w:val="000000" w:themeColor="text1"/>
                <w:sz w:val="24"/>
                <w:szCs w:val="24"/>
                <w:lang w:eastAsia="zh-CN"/>
                <w14:textFill>
                  <w14:solidFill>
                    <w14:schemeClr w14:val="tx1"/>
                  </w14:solidFill>
                </w14:textFill>
              </w:rPr>
            </w:pPr>
            <w:r>
              <w:rPr>
                <w:rFonts w:hint="eastAsia" w:ascii="楷体" w:hAnsi="楷体" w:eastAsia="楷体" w:cs="楷体"/>
                <w:b w:val="0"/>
                <w:bCs w:val="0"/>
                <w:color w:val="000000" w:themeColor="text1"/>
                <w:sz w:val="24"/>
                <w:szCs w:val="24"/>
                <w14:textFill>
                  <w14:solidFill>
                    <w14:schemeClr w14:val="tx1"/>
                  </w14:solidFill>
                </w14:textFill>
              </w:rPr>
              <w:t>单标段项目检查发现缺少漏保器或漏保器失效</w:t>
            </w:r>
            <w:r>
              <w:rPr>
                <w:rFonts w:hint="eastAsia" w:ascii="楷体" w:hAnsi="楷体" w:eastAsia="楷体" w:cs="楷体"/>
                <w:b w:val="0"/>
                <w:bCs w:val="0"/>
                <w:color w:val="000000" w:themeColor="text1"/>
                <w:sz w:val="24"/>
                <w:szCs w:val="24"/>
                <w:lang w:val="en-US" w:eastAsia="zh-CN"/>
                <w14:textFill>
                  <w14:solidFill>
                    <w14:schemeClr w14:val="tx1"/>
                  </w14:solidFill>
                </w14:textFill>
              </w:rPr>
              <w:t>；或</w:t>
            </w:r>
            <w:r>
              <w:rPr>
                <w:rFonts w:hint="eastAsia" w:ascii="楷体" w:hAnsi="楷体" w:eastAsia="楷体" w:cs="楷体"/>
                <w:b w:val="0"/>
                <w:bCs w:val="0"/>
                <w:color w:val="000000" w:themeColor="text1"/>
                <w:sz w:val="24"/>
                <w:szCs w:val="24"/>
                <w14:textFill>
                  <w14:solidFill>
                    <w14:schemeClr w14:val="tx1"/>
                  </w14:solidFill>
                </w14:textFill>
              </w:rPr>
              <w:t>任一个三级用电接线没有经过漏保器</w:t>
            </w:r>
            <w:r>
              <w:rPr>
                <w:rFonts w:hint="eastAsia" w:ascii="楷体" w:hAnsi="楷体" w:eastAsia="楷体" w:cs="楷体"/>
                <w:b w:val="0"/>
                <w:bCs w:val="0"/>
                <w:color w:val="000000" w:themeColor="text1"/>
                <w:sz w:val="24"/>
                <w:szCs w:val="24"/>
                <w:lang w:eastAsia="zh-CN"/>
                <w14:textFill>
                  <w14:solidFill>
                    <w14:schemeClr w14:val="tx1"/>
                  </w14:solidFill>
                </w14:textFill>
              </w:rPr>
              <w:t>。</w:t>
            </w:r>
          </w:p>
          <w:p>
            <w:pPr>
              <w:spacing w:line="240" w:lineRule="auto"/>
              <w:jc w:val="left"/>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合2处及以上</w:t>
            </w:r>
          </w:p>
        </w:tc>
        <w:tc>
          <w:tcPr>
            <w:tcW w:w="1428"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5000（</w:t>
            </w:r>
            <w:r>
              <w:rPr>
                <w:rFonts w:hint="eastAsia" w:ascii="楷体" w:hAnsi="楷体" w:eastAsia="楷体" w:cs="楷体"/>
                <w:b w:val="0"/>
                <w:bCs w:val="0"/>
                <w:color w:val="000000" w:themeColor="text1"/>
                <w:kern w:val="2"/>
                <w:sz w:val="24"/>
                <w:szCs w:val="24"/>
                <w:vertAlign w:val="baseline"/>
                <w:lang w:val="en-US" w:eastAsia="zh-CN" w:bidi="ar-SA"/>
                <w14:textFill>
                  <w14:solidFill>
                    <w14:schemeClr w14:val="tx1"/>
                  </w14:solidFill>
                </w14:textFill>
              </w:rPr>
              <w:t>每处2000）</w:t>
            </w:r>
          </w:p>
        </w:tc>
        <w:tc>
          <w:tcPr>
            <w:tcW w:w="788"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03" w:type="dxa"/>
            <w:vAlign w:val="center"/>
          </w:tcPr>
          <w:p>
            <w:pPr>
              <w:spacing w:line="240" w:lineRule="auto"/>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20</w:t>
            </w:r>
          </w:p>
        </w:tc>
        <w:tc>
          <w:tcPr>
            <w:tcW w:w="1566" w:type="dxa"/>
            <w:vAlign w:val="center"/>
          </w:tcPr>
          <w:p>
            <w:pPr>
              <w:spacing w:line="240" w:lineRule="auto"/>
              <w:ind w:firstLine="0" w:firstLineChars="0"/>
              <w:jc w:val="center"/>
              <w:rPr>
                <w:rFonts w:hint="eastAsia" w:ascii="楷体" w:hAnsi="楷体" w:eastAsia="楷体" w:cs="楷体"/>
                <w:b/>
                <w:bCs/>
                <w:sz w:val="24"/>
                <w:szCs w:val="24"/>
                <w:vertAlign w:val="baseline"/>
                <w:lang w:val="en-US" w:eastAsia="zh-CN"/>
              </w:rPr>
            </w:pPr>
            <w:r>
              <w:rPr>
                <w:rFonts w:hint="eastAsia" w:ascii="楷体" w:hAnsi="楷体" w:eastAsia="楷体" w:cs="楷体"/>
                <w:b/>
                <w:bCs/>
                <w:sz w:val="24"/>
                <w:szCs w:val="24"/>
                <w:vertAlign w:val="baseline"/>
                <w:lang w:val="en-US" w:eastAsia="zh-CN"/>
              </w:rPr>
              <w:t>消防</w:t>
            </w:r>
          </w:p>
        </w:tc>
        <w:tc>
          <w:tcPr>
            <w:tcW w:w="5158" w:type="dxa"/>
            <w:vAlign w:val="center"/>
          </w:tcPr>
          <w:p>
            <w:pPr>
              <w:pStyle w:val="8"/>
              <w:numPr>
                <w:ilvl w:val="0"/>
                <w:numId w:val="5"/>
              </w:numPr>
              <w:spacing w:line="240" w:lineRule="auto"/>
              <w:ind w:left="0" w:leftChars="0" w:firstLine="0" w:firstLineChars="0"/>
              <w:jc w:val="left"/>
              <w:rPr>
                <w:rFonts w:hint="eastAsia"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b w:val="0"/>
                <w:bCs w:val="0"/>
                <w:color w:val="000000" w:themeColor="text1"/>
                <w:sz w:val="24"/>
                <w:szCs w:val="24"/>
                <w14:textFill>
                  <w14:solidFill>
                    <w14:schemeClr w14:val="tx1"/>
                  </w14:solidFill>
                </w14:textFill>
              </w:rPr>
              <w:t>宿舍内存在使用超500w的大功率电器</w:t>
            </w:r>
            <w:r>
              <w:rPr>
                <w:rFonts w:hint="eastAsia" w:ascii="楷体" w:hAnsi="楷体" w:eastAsia="楷体" w:cs="楷体"/>
                <w:b w:val="0"/>
                <w:bCs w:val="0"/>
                <w:color w:val="000000" w:themeColor="text1"/>
                <w:sz w:val="24"/>
                <w:szCs w:val="24"/>
                <w:lang w:val="en-US" w:eastAsia="zh-CN"/>
                <w14:textFill>
                  <w14:solidFill>
                    <w14:schemeClr w14:val="tx1"/>
                  </w14:solidFill>
                </w14:textFill>
              </w:rPr>
              <w:t>或</w:t>
            </w:r>
            <w:r>
              <w:rPr>
                <w:rFonts w:hint="eastAsia" w:ascii="楷体" w:hAnsi="楷体" w:eastAsia="楷体" w:cs="楷体"/>
                <w:b w:val="0"/>
                <w:bCs w:val="0"/>
                <w:color w:val="000000" w:themeColor="text1"/>
                <w:sz w:val="24"/>
                <w:szCs w:val="24"/>
                <w14:textFill>
                  <w14:solidFill>
                    <w14:schemeClr w14:val="tx1"/>
                  </w14:solidFill>
                </w14:textFill>
              </w:rPr>
              <w:t>存在</w:t>
            </w:r>
            <w:r>
              <w:rPr>
                <w:rFonts w:hint="eastAsia" w:ascii="楷体" w:hAnsi="楷体" w:eastAsia="楷体" w:cs="楷体"/>
                <w:b w:val="0"/>
                <w:bCs w:val="0"/>
                <w:color w:val="000000" w:themeColor="text1"/>
                <w:sz w:val="24"/>
                <w:szCs w:val="24"/>
                <w:lang w:val="en-US" w:eastAsia="zh-CN"/>
                <w14:textFill>
                  <w14:solidFill>
                    <w14:schemeClr w14:val="tx1"/>
                  </w14:solidFill>
                </w14:textFill>
              </w:rPr>
              <w:t>煮</w:t>
            </w:r>
            <w:r>
              <w:rPr>
                <w:rFonts w:hint="eastAsia" w:ascii="楷体" w:hAnsi="楷体" w:eastAsia="楷体" w:cs="楷体"/>
                <w:b w:val="0"/>
                <w:bCs w:val="0"/>
                <w:color w:val="000000" w:themeColor="text1"/>
                <w:sz w:val="24"/>
                <w:szCs w:val="24"/>
                <w14:textFill>
                  <w14:solidFill>
                    <w14:schemeClr w14:val="tx1"/>
                  </w14:solidFill>
                </w14:textFill>
              </w:rPr>
              <w:t>饭现象</w:t>
            </w:r>
            <w:r>
              <w:rPr>
                <w:rFonts w:hint="eastAsia" w:ascii="楷体" w:hAnsi="楷体" w:eastAsia="楷体" w:cs="楷体"/>
                <w:b w:val="0"/>
                <w:bCs w:val="0"/>
                <w:color w:val="000000" w:themeColor="text1"/>
                <w:sz w:val="24"/>
                <w:szCs w:val="24"/>
                <w:lang w:val="en-US" w:eastAsia="zh-CN"/>
                <w14:textFill>
                  <w14:solidFill>
                    <w14:schemeClr w14:val="tx1"/>
                  </w14:solidFill>
                </w14:textFill>
              </w:rPr>
              <w:t xml:space="preserve">；2.宿舍内存有煤气罐或危化品；3.电瓶车在宿舍内充电；  </w:t>
            </w:r>
          </w:p>
          <w:p>
            <w:pPr>
              <w:pStyle w:val="8"/>
              <w:numPr>
                <w:ilvl w:val="0"/>
                <w:numId w:val="0"/>
              </w:numPr>
              <w:spacing w:line="240" w:lineRule="auto"/>
              <w:ind w:leftChars="0"/>
              <w:jc w:val="left"/>
              <w:rPr>
                <w:rFonts w:hint="eastAsia"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合存在2个及以上</w:t>
            </w:r>
          </w:p>
        </w:tc>
        <w:tc>
          <w:tcPr>
            <w:tcW w:w="1428"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5000（</w:t>
            </w:r>
            <w:r>
              <w:rPr>
                <w:rFonts w:hint="eastAsia" w:ascii="楷体" w:hAnsi="楷体" w:eastAsia="楷体" w:cs="楷体"/>
                <w:b w:val="0"/>
                <w:bCs w:val="0"/>
                <w:color w:val="000000" w:themeColor="text1"/>
                <w:kern w:val="2"/>
                <w:sz w:val="24"/>
                <w:szCs w:val="24"/>
                <w:vertAlign w:val="baseline"/>
                <w:lang w:val="en-US" w:eastAsia="zh-CN" w:bidi="ar-SA"/>
                <w14:textFill>
                  <w14:solidFill>
                    <w14:schemeClr w14:val="tx1"/>
                  </w14:solidFill>
                </w14:textFill>
              </w:rPr>
              <w:t>每处2000）</w:t>
            </w:r>
          </w:p>
        </w:tc>
        <w:tc>
          <w:tcPr>
            <w:tcW w:w="788"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603" w:type="dxa"/>
            <w:vAlign w:val="center"/>
          </w:tcPr>
          <w:p>
            <w:pPr>
              <w:spacing w:line="24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21</w:t>
            </w:r>
          </w:p>
        </w:tc>
        <w:tc>
          <w:tcPr>
            <w:tcW w:w="1566" w:type="dxa"/>
            <w:vAlign w:val="center"/>
          </w:tcPr>
          <w:p>
            <w:pPr>
              <w:spacing w:line="24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t>电瓶车</w:t>
            </w:r>
          </w:p>
        </w:tc>
        <w:tc>
          <w:tcPr>
            <w:tcW w:w="5158" w:type="dxa"/>
            <w:vAlign w:val="center"/>
          </w:tcPr>
          <w:p>
            <w:pPr>
              <w:spacing w:line="240" w:lineRule="auto"/>
              <w:jc w:val="left"/>
              <w:rPr>
                <w:rFonts w:hint="eastAsia" w:ascii="楷体" w:hAnsi="楷体" w:eastAsia="楷体" w:cs="楷体"/>
                <w:b w:val="0"/>
                <w:bCs w:val="0"/>
                <w:color w:val="000000" w:themeColor="text1"/>
                <w:sz w:val="24"/>
                <w:szCs w:val="24"/>
                <w:lang w:eastAsia="zh-CN"/>
                <w14:textFill>
                  <w14:solidFill>
                    <w14:schemeClr w14:val="tx1"/>
                  </w14:solidFill>
                </w14:textFill>
              </w:rPr>
            </w:pPr>
            <w:r>
              <w:rPr>
                <w:rFonts w:hint="eastAsia" w:ascii="楷体" w:hAnsi="楷体" w:eastAsia="楷体" w:cs="楷体"/>
                <w:b w:val="0"/>
                <w:bCs w:val="0"/>
                <w:color w:val="000000" w:themeColor="text1"/>
                <w:sz w:val="24"/>
                <w:szCs w:val="24"/>
                <w14:textFill>
                  <w14:solidFill>
                    <w14:schemeClr w14:val="tx1"/>
                  </w14:solidFill>
                </w14:textFill>
              </w:rPr>
              <w:t>现场人可骑三轮电瓶车进楼层运送砂浆材料</w:t>
            </w:r>
            <w:r>
              <w:rPr>
                <w:rFonts w:hint="eastAsia" w:ascii="楷体" w:hAnsi="楷体" w:eastAsia="楷体" w:cs="楷体"/>
                <w:b w:val="0"/>
                <w:bCs w:val="0"/>
                <w:color w:val="000000" w:themeColor="text1"/>
                <w:sz w:val="24"/>
                <w:szCs w:val="24"/>
                <w:lang w:eastAsia="zh-CN"/>
                <w14:textFill>
                  <w14:solidFill>
                    <w14:schemeClr w14:val="tx1"/>
                  </w14:solidFill>
                </w14:textFill>
              </w:rPr>
              <w:t>（不经过人货梯的首层及地下室除外）</w:t>
            </w:r>
          </w:p>
        </w:tc>
        <w:tc>
          <w:tcPr>
            <w:tcW w:w="1428"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5000</w:t>
            </w:r>
          </w:p>
        </w:tc>
        <w:tc>
          <w:tcPr>
            <w:tcW w:w="788"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03" w:type="dxa"/>
            <w:vAlign w:val="center"/>
          </w:tcPr>
          <w:p>
            <w:pPr>
              <w:spacing w:line="24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22</w:t>
            </w:r>
          </w:p>
        </w:tc>
        <w:tc>
          <w:tcPr>
            <w:tcW w:w="1566" w:type="dxa"/>
            <w:vAlign w:val="center"/>
          </w:tcPr>
          <w:p>
            <w:pPr>
              <w:spacing w:line="24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t>高处作业</w:t>
            </w:r>
          </w:p>
        </w:tc>
        <w:tc>
          <w:tcPr>
            <w:tcW w:w="5158" w:type="dxa"/>
            <w:vAlign w:val="center"/>
          </w:tcPr>
          <w:p>
            <w:pPr>
              <w:spacing w:line="240" w:lineRule="auto"/>
              <w:jc w:val="left"/>
              <w:rPr>
                <w:rFonts w:hint="eastAsia" w:ascii="楷体" w:hAnsi="楷体" w:eastAsia="楷体" w:cs="楷体"/>
                <w:b w:val="0"/>
                <w:bCs w:val="0"/>
                <w:color w:val="000000" w:themeColor="text1"/>
                <w:sz w:val="24"/>
                <w:szCs w:val="24"/>
                <w14:textFill>
                  <w14:solidFill>
                    <w14:schemeClr w14:val="tx1"/>
                  </w14:solidFill>
                </w14:textFill>
              </w:rPr>
            </w:pPr>
            <w:r>
              <w:rPr>
                <w:rFonts w:hint="eastAsia" w:ascii="楷体" w:hAnsi="楷体" w:eastAsia="楷体" w:cs="楷体"/>
                <w:b w:val="0"/>
                <w:bCs w:val="0"/>
                <w:color w:val="000000" w:themeColor="text1"/>
                <w:sz w:val="24"/>
                <w:szCs w:val="24"/>
                <w14:textFill>
                  <w14:solidFill>
                    <w14:schemeClr w14:val="tx1"/>
                  </w14:solidFill>
                </w14:textFill>
              </w:rPr>
              <w:t>高处作业未佩戴安全带或未系挂</w:t>
            </w:r>
            <w:r>
              <w:rPr>
                <w:rFonts w:hint="eastAsia" w:ascii="楷体" w:hAnsi="楷体" w:eastAsia="楷体" w:cs="楷体"/>
                <w:b w:val="0"/>
                <w:bCs w:val="0"/>
                <w:color w:val="000000" w:themeColor="text1"/>
                <w:sz w:val="24"/>
                <w:szCs w:val="24"/>
                <w:lang w:eastAsia="zh-CN"/>
                <w14:textFill>
                  <w14:solidFill>
                    <w14:schemeClr w14:val="tx1"/>
                  </w14:solidFill>
                </w14:textFill>
              </w:rPr>
              <w:t>，</w:t>
            </w:r>
            <w:r>
              <w:rPr>
                <w:rFonts w:hint="eastAsia" w:ascii="楷体" w:hAnsi="楷体" w:eastAsia="楷体" w:cs="楷体"/>
                <w:b w:val="0"/>
                <w:bCs w:val="0"/>
                <w:color w:val="000000" w:themeColor="text1"/>
                <w:sz w:val="24"/>
                <w:szCs w:val="24"/>
                <w14:textFill>
                  <w14:solidFill>
                    <w14:schemeClr w14:val="tx1"/>
                  </w14:solidFill>
                </w14:textFill>
              </w:rPr>
              <w:t>存在</w:t>
            </w:r>
            <w:r>
              <w:rPr>
                <w:rFonts w:hint="eastAsia" w:ascii="楷体" w:hAnsi="楷体" w:eastAsia="楷体" w:cs="楷体"/>
                <w:b w:val="0"/>
                <w:bCs w:val="0"/>
                <w:color w:val="000000" w:themeColor="text1"/>
                <w:sz w:val="24"/>
                <w:szCs w:val="24"/>
                <w:lang w:val="en-US" w:eastAsia="zh-CN"/>
                <w14:textFill>
                  <w14:solidFill>
                    <w14:schemeClr w14:val="tx1"/>
                  </w14:solidFill>
                </w14:textFill>
              </w:rPr>
              <w:t>5人</w:t>
            </w:r>
            <w:r>
              <w:rPr>
                <w:rFonts w:hint="eastAsia" w:ascii="楷体" w:hAnsi="楷体" w:eastAsia="楷体" w:cs="楷体"/>
                <w:b w:val="0"/>
                <w:bCs w:val="0"/>
                <w:color w:val="000000" w:themeColor="text1"/>
                <w:sz w:val="24"/>
                <w:szCs w:val="24"/>
                <w14:textFill>
                  <w14:solidFill>
                    <w14:schemeClr w14:val="tx1"/>
                  </w14:solidFill>
                </w14:textFill>
              </w:rPr>
              <w:t>及以上</w:t>
            </w:r>
          </w:p>
        </w:tc>
        <w:tc>
          <w:tcPr>
            <w:tcW w:w="1428"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5000（</w:t>
            </w:r>
            <w:r>
              <w:rPr>
                <w:rFonts w:hint="eastAsia" w:ascii="楷体" w:hAnsi="楷体" w:eastAsia="楷体" w:cs="楷体"/>
                <w:b w:val="0"/>
                <w:bCs w:val="0"/>
                <w:color w:val="000000" w:themeColor="text1"/>
                <w:kern w:val="2"/>
                <w:sz w:val="24"/>
                <w:szCs w:val="24"/>
                <w:vertAlign w:val="baseline"/>
                <w:lang w:val="en-US" w:eastAsia="zh-CN" w:bidi="ar-SA"/>
                <w14:textFill>
                  <w14:solidFill>
                    <w14:schemeClr w14:val="tx1"/>
                  </w14:solidFill>
                </w14:textFill>
              </w:rPr>
              <w:t>每人1000）</w:t>
            </w:r>
          </w:p>
        </w:tc>
        <w:tc>
          <w:tcPr>
            <w:tcW w:w="788"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603" w:type="dxa"/>
            <w:vAlign w:val="center"/>
          </w:tcPr>
          <w:p>
            <w:pPr>
              <w:spacing w:line="24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23</w:t>
            </w:r>
          </w:p>
        </w:tc>
        <w:tc>
          <w:tcPr>
            <w:tcW w:w="1566" w:type="dxa"/>
            <w:vAlign w:val="center"/>
          </w:tcPr>
          <w:p>
            <w:pPr>
              <w:spacing w:line="24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t>PC安装</w:t>
            </w:r>
          </w:p>
        </w:tc>
        <w:tc>
          <w:tcPr>
            <w:tcW w:w="5158" w:type="dxa"/>
            <w:vAlign w:val="center"/>
          </w:tcPr>
          <w:p>
            <w:pPr>
              <w:spacing w:line="240" w:lineRule="auto"/>
              <w:jc w:val="left"/>
              <w:rPr>
                <w:rFonts w:hint="eastAsia"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1.</w:t>
            </w:r>
            <w:r>
              <w:rPr>
                <w:rFonts w:hint="eastAsia" w:ascii="楷体" w:hAnsi="楷体" w:eastAsia="楷体" w:cs="楷体"/>
                <w:b w:val="0"/>
                <w:bCs w:val="0"/>
                <w:color w:val="000000" w:themeColor="text1"/>
                <w:sz w:val="24"/>
                <w:szCs w:val="24"/>
                <w14:textFill>
                  <w14:solidFill>
                    <w14:schemeClr w14:val="tx1"/>
                  </w14:solidFill>
                </w14:textFill>
              </w:rPr>
              <w:t>叠合板下支撑不符合方案要求</w:t>
            </w:r>
            <w:r>
              <w:rPr>
                <w:rFonts w:hint="eastAsia" w:ascii="楷体" w:hAnsi="楷体" w:eastAsia="楷体" w:cs="楷体"/>
                <w:b w:val="0"/>
                <w:bCs w:val="0"/>
                <w:color w:val="000000" w:themeColor="text1"/>
                <w:sz w:val="24"/>
                <w:szCs w:val="24"/>
                <w:lang w:eastAsia="zh-CN"/>
                <w14:textFill>
                  <w14:solidFill>
                    <w14:schemeClr w14:val="tx1"/>
                  </w14:solidFill>
                </w14:textFill>
              </w:rPr>
              <w:t>，</w:t>
            </w:r>
            <w:r>
              <w:rPr>
                <w:rFonts w:hint="eastAsia" w:ascii="楷体" w:hAnsi="楷体" w:eastAsia="楷体" w:cs="楷体"/>
                <w:b w:val="0"/>
                <w:bCs w:val="0"/>
                <w:color w:val="000000" w:themeColor="text1"/>
                <w:sz w:val="24"/>
                <w:szCs w:val="24"/>
                <w:lang w:val="en-US" w:eastAsia="zh-CN"/>
                <w14:textFill>
                  <w14:solidFill>
                    <w14:schemeClr w14:val="tx1"/>
                  </w14:solidFill>
                </w14:textFill>
              </w:rPr>
              <w:t>按跨计算</w:t>
            </w:r>
          </w:p>
          <w:p>
            <w:pPr>
              <w:spacing w:line="240" w:lineRule="auto"/>
              <w:jc w:val="left"/>
              <w:rPr>
                <w:rFonts w:hint="eastAsia"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2.PC墙板临时固定不符合要求，按块计算</w:t>
            </w:r>
          </w:p>
          <w:p>
            <w:pPr>
              <w:spacing w:line="240" w:lineRule="auto"/>
              <w:jc w:val="left"/>
              <w:rPr>
                <w:rFonts w:hint="eastAsia"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合3处及以上</w:t>
            </w:r>
          </w:p>
        </w:tc>
        <w:tc>
          <w:tcPr>
            <w:tcW w:w="1428"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5000（</w:t>
            </w:r>
            <w:r>
              <w:rPr>
                <w:rFonts w:hint="eastAsia" w:ascii="楷体" w:hAnsi="楷体" w:eastAsia="楷体" w:cs="楷体"/>
                <w:b w:val="0"/>
                <w:bCs w:val="0"/>
                <w:color w:val="000000" w:themeColor="text1"/>
                <w:kern w:val="2"/>
                <w:sz w:val="24"/>
                <w:szCs w:val="24"/>
                <w:vertAlign w:val="baseline"/>
                <w:lang w:val="en-US" w:eastAsia="zh-CN" w:bidi="ar-SA"/>
                <w14:textFill>
                  <w14:solidFill>
                    <w14:schemeClr w14:val="tx1"/>
                  </w14:solidFill>
                </w14:textFill>
              </w:rPr>
              <w:t>每处1000）</w:t>
            </w:r>
          </w:p>
        </w:tc>
        <w:tc>
          <w:tcPr>
            <w:tcW w:w="788"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4" w:hRule="atLeast"/>
        </w:trPr>
        <w:tc>
          <w:tcPr>
            <w:tcW w:w="603" w:type="dxa"/>
            <w:vAlign w:val="center"/>
          </w:tcPr>
          <w:p>
            <w:pPr>
              <w:spacing w:line="24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24</w:t>
            </w:r>
          </w:p>
        </w:tc>
        <w:tc>
          <w:tcPr>
            <w:tcW w:w="1566" w:type="dxa"/>
            <w:vAlign w:val="center"/>
          </w:tcPr>
          <w:p>
            <w:pPr>
              <w:spacing w:line="24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t>吊装</w:t>
            </w:r>
          </w:p>
        </w:tc>
        <w:tc>
          <w:tcPr>
            <w:tcW w:w="5158" w:type="dxa"/>
            <w:vAlign w:val="center"/>
          </w:tcPr>
          <w:p>
            <w:pPr>
              <w:numPr>
                <w:ilvl w:val="0"/>
                <w:numId w:val="6"/>
              </w:numPr>
              <w:spacing w:line="240" w:lineRule="auto"/>
              <w:jc w:val="left"/>
              <w:rPr>
                <w:rFonts w:hint="eastAsia"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b w:val="0"/>
                <w:bCs w:val="0"/>
                <w:color w:val="000000" w:themeColor="text1"/>
                <w:sz w:val="24"/>
                <w:szCs w:val="24"/>
                <w14:textFill>
                  <w14:solidFill>
                    <w14:schemeClr w14:val="tx1"/>
                  </w14:solidFill>
                </w14:textFill>
              </w:rPr>
              <w:t>吊装时吊装区域需有信号工指挥；2、材料吊装时钢丝绳与材料、钢丝绳锁扣需锁死；吊钩防滑锁扣损坏；3、吊装不满足十不吊原则；4、钢丝绳无破损；5、零星材料吊装需采用吊斗吊运，吊装料斗不符合要求；</w:t>
            </w:r>
            <w:r>
              <w:rPr>
                <w:rFonts w:hint="eastAsia" w:ascii="楷体" w:hAnsi="楷体" w:eastAsia="楷体" w:cs="楷体"/>
                <w:b w:val="0"/>
                <w:bCs w:val="0"/>
                <w:color w:val="000000" w:themeColor="text1"/>
                <w:sz w:val="24"/>
                <w:szCs w:val="24"/>
                <w:lang w:val="en-US" w:eastAsia="zh-CN"/>
                <w14:textFill>
                  <w14:solidFill>
                    <w14:schemeClr w14:val="tx1"/>
                  </w14:solidFill>
                </w14:textFill>
              </w:rPr>
              <w:t xml:space="preserve">6. </w:t>
            </w:r>
            <w:r>
              <w:rPr>
                <w:rFonts w:hint="eastAsia" w:ascii="楷体" w:hAnsi="楷体" w:eastAsia="楷体" w:cs="楷体"/>
                <w:b w:val="0"/>
                <w:bCs w:val="0"/>
                <w:color w:val="000000" w:themeColor="text1"/>
                <w:sz w:val="24"/>
                <w:szCs w:val="24"/>
                <w14:textFill>
                  <w14:solidFill>
                    <w14:schemeClr w14:val="tx1"/>
                  </w14:solidFill>
                </w14:textFill>
              </w:rPr>
              <w:t>吊物堆积高度高于吊笼高度，</w:t>
            </w:r>
            <w:r>
              <w:rPr>
                <w:rFonts w:hint="eastAsia" w:ascii="楷体" w:hAnsi="楷体" w:eastAsia="楷体" w:cs="楷体"/>
                <w:b w:val="0"/>
                <w:bCs w:val="0"/>
                <w:color w:val="000000" w:themeColor="text1"/>
                <w:sz w:val="24"/>
                <w:szCs w:val="24"/>
                <w:lang w:val="en-US" w:eastAsia="zh-CN"/>
                <w14:textFill>
                  <w14:solidFill>
                    <w14:schemeClr w14:val="tx1"/>
                  </w14:solidFill>
                </w14:textFill>
              </w:rPr>
              <w:t>7.</w:t>
            </w:r>
            <w:r>
              <w:rPr>
                <w:rFonts w:hint="eastAsia" w:ascii="楷体" w:hAnsi="楷体" w:eastAsia="楷体" w:cs="楷体"/>
                <w:b w:val="0"/>
                <w:bCs w:val="0"/>
                <w:color w:val="000000" w:themeColor="text1"/>
                <w:sz w:val="24"/>
                <w:szCs w:val="24"/>
                <w14:textFill>
                  <w14:solidFill>
                    <w14:schemeClr w14:val="tx1"/>
                  </w14:solidFill>
                </w14:textFill>
              </w:rPr>
              <w:t>吊物</w:t>
            </w:r>
            <w:r>
              <w:rPr>
                <w:rFonts w:hint="eastAsia" w:ascii="楷体" w:hAnsi="楷体" w:eastAsia="楷体" w:cs="楷体"/>
                <w:b w:val="0"/>
                <w:bCs w:val="0"/>
                <w:color w:val="000000" w:themeColor="text1"/>
                <w:sz w:val="24"/>
                <w:szCs w:val="24"/>
                <w:lang w:val="en-US" w:eastAsia="zh-CN"/>
                <w14:textFill>
                  <w14:solidFill>
                    <w14:schemeClr w14:val="tx1"/>
                  </w14:solidFill>
                </w14:textFill>
              </w:rPr>
              <w:t>长短混吊或</w:t>
            </w:r>
            <w:r>
              <w:rPr>
                <w:rFonts w:hint="eastAsia" w:ascii="楷体" w:hAnsi="楷体" w:eastAsia="楷体" w:cs="楷体"/>
                <w:b w:val="0"/>
                <w:bCs w:val="0"/>
                <w:color w:val="000000" w:themeColor="text1"/>
                <w:sz w:val="24"/>
                <w:szCs w:val="24"/>
                <w14:textFill>
                  <w14:solidFill>
                    <w14:schemeClr w14:val="tx1"/>
                  </w14:solidFill>
                </w14:textFill>
              </w:rPr>
              <w:t>捆绑不符合要求</w:t>
            </w:r>
            <w:r>
              <w:rPr>
                <w:rFonts w:hint="eastAsia" w:ascii="楷体" w:hAnsi="楷体" w:eastAsia="楷体" w:cs="楷体"/>
                <w:b w:val="0"/>
                <w:bCs w:val="0"/>
                <w:color w:val="000000" w:themeColor="text1"/>
                <w:sz w:val="24"/>
                <w:szCs w:val="24"/>
                <w:lang w:eastAsia="zh-CN"/>
                <w14:textFill>
                  <w14:solidFill>
                    <w14:schemeClr w14:val="tx1"/>
                  </w14:solidFill>
                </w14:textFill>
              </w:rPr>
              <w:t>，</w:t>
            </w:r>
            <w:r>
              <w:rPr>
                <w:rFonts w:hint="eastAsia" w:ascii="楷体" w:hAnsi="楷体" w:eastAsia="楷体" w:cs="楷体"/>
                <w:b w:val="0"/>
                <w:bCs w:val="0"/>
                <w:color w:val="000000" w:themeColor="text1"/>
                <w:sz w:val="24"/>
                <w:szCs w:val="24"/>
                <w:lang w:val="en-US" w:eastAsia="zh-CN"/>
                <w14:textFill>
                  <w14:solidFill>
                    <w14:schemeClr w14:val="tx1"/>
                  </w14:solidFill>
                </w14:textFill>
              </w:rPr>
              <w:t xml:space="preserve">8、钢管穿箍筋吊运；9、吊笼两点起吊。 </w:t>
            </w:r>
          </w:p>
          <w:p>
            <w:pPr>
              <w:numPr>
                <w:ilvl w:val="0"/>
                <w:numId w:val="0"/>
              </w:numPr>
              <w:spacing w:line="240" w:lineRule="auto"/>
              <w:jc w:val="left"/>
              <w:rPr>
                <w:rFonts w:hint="eastAsia"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合 3处</w:t>
            </w:r>
            <w:r>
              <w:rPr>
                <w:rFonts w:hint="eastAsia" w:ascii="楷体" w:hAnsi="楷体" w:eastAsia="楷体" w:cs="楷体"/>
                <w:b w:val="0"/>
                <w:bCs w:val="0"/>
                <w:color w:val="000000" w:themeColor="text1"/>
                <w:sz w:val="24"/>
                <w:szCs w:val="24"/>
                <w14:textFill>
                  <w14:solidFill>
                    <w14:schemeClr w14:val="tx1"/>
                  </w14:solidFill>
                </w14:textFill>
              </w:rPr>
              <w:t>及以上</w:t>
            </w:r>
          </w:p>
        </w:tc>
        <w:tc>
          <w:tcPr>
            <w:tcW w:w="1428"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5000（</w:t>
            </w:r>
            <w:r>
              <w:rPr>
                <w:rFonts w:hint="eastAsia" w:ascii="楷体" w:hAnsi="楷体" w:eastAsia="楷体" w:cs="楷体"/>
                <w:b w:val="0"/>
                <w:bCs w:val="0"/>
                <w:color w:val="000000" w:themeColor="text1"/>
                <w:kern w:val="2"/>
                <w:sz w:val="24"/>
                <w:szCs w:val="24"/>
                <w:vertAlign w:val="baseline"/>
                <w:lang w:val="en-US" w:eastAsia="zh-CN" w:bidi="ar-SA"/>
                <w14:textFill>
                  <w14:solidFill>
                    <w14:schemeClr w14:val="tx1"/>
                  </w14:solidFill>
                </w14:textFill>
              </w:rPr>
              <w:t>每处1000）</w:t>
            </w:r>
          </w:p>
        </w:tc>
        <w:tc>
          <w:tcPr>
            <w:tcW w:w="788"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2" w:hRule="atLeast"/>
        </w:trPr>
        <w:tc>
          <w:tcPr>
            <w:tcW w:w="603" w:type="dxa"/>
            <w:vAlign w:val="center"/>
          </w:tcPr>
          <w:p>
            <w:pPr>
              <w:spacing w:line="24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25</w:t>
            </w:r>
          </w:p>
        </w:tc>
        <w:tc>
          <w:tcPr>
            <w:tcW w:w="1566" w:type="dxa"/>
            <w:vAlign w:val="center"/>
          </w:tcPr>
          <w:p>
            <w:pPr>
              <w:spacing w:line="24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p>
          <w:p>
            <w:pPr>
              <w:spacing w:line="24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t>吊篮</w:t>
            </w:r>
          </w:p>
        </w:tc>
        <w:tc>
          <w:tcPr>
            <w:tcW w:w="5158" w:type="dxa"/>
            <w:vAlign w:val="center"/>
          </w:tcPr>
          <w:p>
            <w:pPr>
              <w:spacing w:line="240" w:lineRule="auto"/>
              <w:jc w:val="left"/>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pPr>
            <w: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t>1.吊篮内的作业人员不得超过2人；</w:t>
            </w:r>
          </w:p>
          <w:p>
            <w:pPr>
              <w:spacing w:line="240" w:lineRule="auto"/>
              <w:jc w:val="left"/>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pPr>
            <w: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t>2.</w:t>
            </w:r>
            <w:r>
              <w:rPr>
                <w:rFonts w:hint="eastAsia" w:ascii="楷体" w:hAnsi="楷体" w:eastAsia="楷体" w:cs="楷体"/>
                <w:b w:val="0"/>
                <w:bCs w:val="0"/>
                <w:color w:val="000000" w:themeColor="text1"/>
                <w:sz w:val="24"/>
                <w:szCs w:val="24"/>
                <w14:textFill>
                  <w14:solidFill>
                    <w14:schemeClr w14:val="tx1"/>
                  </w14:solidFill>
                </w14:textFill>
              </w:rPr>
              <w:t>吊篮未落地停放</w:t>
            </w:r>
            <w:r>
              <w:rPr>
                <w:rFonts w:hint="eastAsia" w:ascii="楷体" w:hAnsi="楷体" w:eastAsia="楷体" w:cs="楷体"/>
                <w:b w:val="0"/>
                <w:bCs w:val="0"/>
                <w:color w:val="000000" w:themeColor="text1"/>
                <w:sz w:val="24"/>
                <w:szCs w:val="24"/>
                <w:lang w:eastAsia="zh-CN"/>
                <w14:textFill>
                  <w14:solidFill>
                    <w14:schemeClr w14:val="tx1"/>
                  </w14:solidFill>
                </w14:textFill>
              </w:rPr>
              <w:t>，</w:t>
            </w:r>
            <w: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t>作业人员未从地面进出吊篮</w:t>
            </w:r>
          </w:p>
          <w:p>
            <w:pPr>
              <w:spacing w:line="240" w:lineRule="auto"/>
              <w:jc w:val="left"/>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pPr>
            <w: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t>3.防坠锁失效，</w:t>
            </w:r>
          </w:p>
          <w:p>
            <w:pPr>
              <w:tabs>
                <w:tab w:val="center" w:pos="2471"/>
              </w:tabs>
              <w:spacing w:line="240" w:lineRule="auto"/>
              <w:jc w:val="left"/>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pPr>
            <w: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t>4.没有使用安全生命绳</w:t>
            </w:r>
          </w:p>
          <w:p>
            <w:pPr>
              <w:spacing w:line="240" w:lineRule="auto"/>
              <w:jc w:val="left"/>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pPr>
            <w: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t>5.配重块固定不牢固或缺失</w:t>
            </w:r>
          </w:p>
          <w:p>
            <w:pPr>
              <w:spacing w:line="240" w:lineRule="auto"/>
              <w:jc w:val="left"/>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pPr>
            <w: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t>合5处及以上</w:t>
            </w:r>
          </w:p>
        </w:tc>
        <w:tc>
          <w:tcPr>
            <w:tcW w:w="1428"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5000（</w:t>
            </w:r>
            <w:r>
              <w:rPr>
                <w:rFonts w:hint="eastAsia" w:ascii="楷体" w:hAnsi="楷体" w:eastAsia="楷体" w:cs="楷体"/>
                <w:b w:val="0"/>
                <w:bCs w:val="0"/>
                <w:color w:val="000000" w:themeColor="text1"/>
                <w:kern w:val="2"/>
                <w:sz w:val="24"/>
                <w:szCs w:val="24"/>
                <w:vertAlign w:val="baseline"/>
                <w:lang w:val="en-US" w:eastAsia="zh-CN" w:bidi="ar-SA"/>
                <w14:textFill>
                  <w14:solidFill>
                    <w14:schemeClr w14:val="tx1"/>
                  </w14:solidFill>
                </w14:textFill>
              </w:rPr>
              <w:t>每处1000）</w:t>
            </w:r>
          </w:p>
        </w:tc>
        <w:tc>
          <w:tcPr>
            <w:tcW w:w="788"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红</w:t>
            </w:r>
          </w:p>
        </w:tc>
      </w:tr>
    </w:tbl>
    <w:p>
      <w:pPr>
        <w:spacing w:line="360" w:lineRule="auto"/>
        <w:rPr>
          <w:rFonts w:hint="default" w:ascii="华文中宋" w:hAnsi="华文中宋" w:eastAsia="华文中宋" w:cs="华文细黑"/>
          <w:sz w:val="24"/>
          <w:lang w:val="en-US" w:eastAsia="zh-CN"/>
        </w:rPr>
      </w:pPr>
    </w:p>
    <w:p>
      <w:pPr>
        <w:spacing w:line="360" w:lineRule="auto"/>
        <w:rPr>
          <w:rFonts w:hint="eastAsia" w:ascii="华文中宋" w:hAnsi="华文中宋" w:eastAsia="华文中宋" w:cs="华文细黑"/>
          <w:sz w:val="24"/>
        </w:rPr>
      </w:pPr>
    </w:p>
    <w:p>
      <w:pPr>
        <w:spacing w:line="360" w:lineRule="auto"/>
        <w:rPr>
          <w:rFonts w:hint="eastAsia" w:ascii="华文中宋" w:hAnsi="华文中宋" w:eastAsia="华文中宋" w:cs="华文细黑"/>
          <w:sz w:val="24"/>
        </w:rPr>
      </w:pPr>
    </w:p>
    <w:p>
      <w:pPr>
        <w:spacing w:line="360" w:lineRule="auto"/>
        <w:rPr>
          <w:rFonts w:hint="eastAsia" w:ascii="华文中宋" w:hAnsi="华文中宋" w:eastAsia="华文中宋" w:cs="华文细黑"/>
          <w:sz w:val="24"/>
        </w:rPr>
      </w:pPr>
    </w:p>
    <w:p>
      <w:pPr>
        <w:spacing w:line="360" w:lineRule="auto"/>
        <w:rPr>
          <w:rFonts w:hint="eastAsia" w:ascii="华文中宋" w:hAnsi="华文中宋" w:eastAsia="华文中宋" w:cs="华文细黑"/>
          <w:sz w:val="24"/>
        </w:rPr>
      </w:pPr>
    </w:p>
    <w:p>
      <w:pPr>
        <w:spacing w:line="360" w:lineRule="auto"/>
        <w:rPr>
          <w:rFonts w:hint="eastAsia" w:ascii="华文中宋" w:hAnsi="华文中宋" w:eastAsia="华文中宋" w:cs="华文细黑"/>
          <w:sz w:val="24"/>
        </w:rPr>
      </w:pPr>
    </w:p>
    <w:p>
      <w:pPr>
        <w:spacing w:line="360" w:lineRule="auto"/>
        <w:rPr>
          <w:rFonts w:hint="eastAsia" w:ascii="华文中宋" w:hAnsi="华文中宋" w:eastAsia="华文中宋" w:cs="华文细黑"/>
          <w:sz w:val="24"/>
        </w:rPr>
      </w:pPr>
    </w:p>
    <w:p>
      <w:pPr>
        <w:spacing w:line="360" w:lineRule="auto"/>
        <w:rPr>
          <w:rFonts w:hint="eastAsia" w:ascii="华文中宋" w:hAnsi="华文中宋" w:eastAsia="华文中宋" w:cs="华文细黑"/>
          <w:sz w:val="24"/>
        </w:rPr>
      </w:pPr>
    </w:p>
    <w:p>
      <w:pPr>
        <w:spacing w:line="360" w:lineRule="auto"/>
        <w:rPr>
          <w:rFonts w:hint="eastAsia" w:ascii="华文中宋" w:hAnsi="华文中宋" w:eastAsia="华文中宋" w:cs="华文细黑"/>
          <w:sz w:val="24"/>
        </w:rPr>
      </w:pPr>
    </w:p>
    <w:p>
      <w:pPr>
        <w:spacing w:line="360" w:lineRule="auto"/>
        <w:rPr>
          <w:rFonts w:hint="eastAsia" w:ascii="华文中宋" w:hAnsi="华文中宋" w:eastAsia="华文中宋" w:cs="华文细黑"/>
          <w:sz w:val="24"/>
        </w:rPr>
      </w:pPr>
    </w:p>
    <w:p>
      <w:pPr>
        <w:spacing w:line="360" w:lineRule="auto"/>
        <w:rPr>
          <w:rFonts w:hint="eastAsia" w:ascii="华文中宋" w:hAnsi="华文中宋" w:eastAsia="华文中宋" w:cs="华文细黑"/>
          <w:sz w:val="24"/>
        </w:rPr>
      </w:pPr>
    </w:p>
    <w:p>
      <w:pPr>
        <w:spacing w:line="360" w:lineRule="auto"/>
        <w:rPr>
          <w:rFonts w:hint="eastAsia" w:ascii="华文中宋" w:hAnsi="华文中宋" w:eastAsia="华文中宋" w:cs="华文细黑"/>
          <w:sz w:val="24"/>
        </w:rPr>
      </w:pPr>
    </w:p>
    <w:p>
      <w:pPr>
        <w:spacing w:line="360" w:lineRule="auto"/>
        <w:rPr>
          <w:rFonts w:hint="eastAsia" w:ascii="华文中宋" w:hAnsi="华文中宋" w:eastAsia="华文中宋" w:cs="华文细黑"/>
          <w:sz w:val="24"/>
        </w:rPr>
      </w:pPr>
    </w:p>
    <w:p>
      <w:pPr>
        <w:spacing w:line="360" w:lineRule="auto"/>
        <w:rPr>
          <w:rFonts w:hint="eastAsia" w:ascii="华文中宋" w:hAnsi="华文中宋" w:eastAsia="华文中宋" w:cs="华文细黑"/>
          <w:sz w:val="24"/>
        </w:rPr>
      </w:pPr>
    </w:p>
    <w:p>
      <w:pPr>
        <w:numPr>
          <w:ilvl w:val="0"/>
          <w:numId w:val="7"/>
        </w:numPr>
        <w:spacing w:line="360" w:lineRule="auto"/>
        <w:ind w:firstLine="482" w:firstLineChars="200"/>
        <w:rPr>
          <w:rFonts w:hint="eastAsia" w:ascii="华文中宋" w:hAnsi="华文中宋" w:eastAsia="华文中宋" w:cs="华文细黑"/>
          <w:b/>
          <w:bCs/>
          <w:sz w:val="24"/>
          <w:lang w:val="en-US" w:eastAsia="zh-CN"/>
        </w:rPr>
      </w:pPr>
      <w:r>
        <w:rPr>
          <w:rFonts w:hint="eastAsia" w:ascii="华文中宋" w:hAnsi="华文中宋" w:eastAsia="华文中宋" w:cs="华文细黑"/>
          <w:b/>
          <w:bCs/>
          <w:sz w:val="24"/>
          <w:lang w:val="en-US" w:eastAsia="zh-CN"/>
        </w:rPr>
        <w:t>安全文明二类问题项</w:t>
      </w:r>
    </w:p>
    <w:p>
      <w:pPr>
        <w:numPr>
          <w:ilvl w:val="0"/>
          <w:numId w:val="0"/>
        </w:numPr>
        <w:spacing w:line="360" w:lineRule="auto"/>
        <w:rPr>
          <w:rFonts w:hint="eastAsia" w:ascii="华文中宋" w:hAnsi="华文中宋" w:eastAsia="华文中宋" w:cs="华文细黑"/>
          <w:b/>
          <w:bCs/>
          <w:sz w:val="24"/>
          <w:lang w:val="en-US" w:eastAsia="zh-CN"/>
        </w:rPr>
      </w:pPr>
    </w:p>
    <w:tbl>
      <w:tblPr>
        <w:tblStyle w:val="6"/>
        <w:tblW w:w="95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1309"/>
        <w:gridCol w:w="5547"/>
        <w:gridCol w:w="1425"/>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vAlign w:val="center"/>
          </w:tcPr>
          <w:p>
            <w:pPr>
              <w:spacing w:line="360" w:lineRule="auto"/>
              <w:jc w:val="center"/>
              <w:rPr>
                <w:rFonts w:hint="eastAsia" w:ascii="楷体" w:hAnsi="楷体" w:eastAsia="楷体" w:cs="楷体"/>
                <w:b/>
                <w:bCs/>
                <w:color w:val="auto"/>
                <w:sz w:val="24"/>
                <w:szCs w:val="24"/>
                <w:vertAlign w:val="baseline"/>
                <w:lang w:val="en-US" w:eastAsia="zh-CN"/>
              </w:rPr>
            </w:pPr>
            <w:r>
              <w:rPr>
                <w:rFonts w:hint="eastAsia" w:ascii="楷体" w:hAnsi="楷体" w:eastAsia="楷体" w:cs="楷体"/>
                <w:b/>
                <w:bCs/>
                <w:color w:val="auto"/>
                <w:sz w:val="24"/>
                <w:szCs w:val="24"/>
                <w:vertAlign w:val="baseline"/>
                <w:lang w:val="en-US" w:eastAsia="zh-CN"/>
              </w:rPr>
              <w:t>序号</w:t>
            </w:r>
          </w:p>
        </w:tc>
        <w:tc>
          <w:tcPr>
            <w:tcW w:w="1309" w:type="dxa"/>
            <w:vAlign w:val="center"/>
          </w:tcPr>
          <w:p>
            <w:pPr>
              <w:spacing w:line="360" w:lineRule="auto"/>
              <w:jc w:val="center"/>
              <w:rPr>
                <w:rFonts w:hint="eastAsia" w:ascii="楷体" w:hAnsi="楷体" w:eastAsia="楷体" w:cs="楷体"/>
                <w:b/>
                <w:bCs/>
                <w:color w:val="auto"/>
                <w:sz w:val="24"/>
                <w:szCs w:val="24"/>
                <w:vertAlign w:val="baseline"/>
                <w:lang w:val="en-US" w:eastAsia="zh-CN"/>
              </w:rPr>
            </w:pPr>
            <w:r>
              <w:rPr>
                <w:rFonts w:hint="eastAsia" w:ascii="楷体" w:hAnsi="楷体" w:eastAsia="楷体" w:cs="楷体"/>
                <w:b/>
                <w:bCs/>
                <w:color w:val="auto"/>
                <w:sz w:val="24"/>
                <w:szCs w:val="24"/>
                <w:vertAlign w:val="baseline"/>
                <w:lang w:val="en-US" w:eastAsia="zh-CN"/>
              </w:rPr>
              <w:t>问题类别</w:t>
            </w:r>
          </w:p>
        </w:tc>
        <w:tc>
          <w:tcPr>
            <w:tcW w:w="5547" w:type="dxa"/>
            <w:vAlign w:val="center"/>
          </w:tcPr>
          <w:p>
            <w:pPr>
              <w:spacing w:line="360" w:lineRule="auto"/>
              <w:jc w:val="center"/>
              <w:rPr>
                <w:rFonts w:hint="eastAsia" w:ascii="楷体" w:hAnsi="楷体" w:eastAsia="楷体" w:cs="楷体"/>
                <w:b/>
                <w:bCs/>
                <w:color w:val="auto"/>
                <w:sz w:val="24"/>
                <w:szCs w:val="24"/>
                <w:vertAlign w:val="baseline"/>
                <w:lang w:val="en-US" w:eastAsia="zh-CN"/>
              </w:rPr>
            </w:pPr>
            <w:r>
              <w:rPr>
                <w:rFonts w:hint="eastAsia" w:ascii="楷体" w:hAnsi="楷体" w:eastAsia="楷体" w:cs="楷体"/>
                <w:b/>
                <w:bCs/>
                <w:color w:val="auto"/>
                <w:sz w:val="24"/>
                <w:szCs w:val="24"/>
                <w:vertAlign w:val="baseline"/>
                <w:lang w:val="en-US" w:eastAsia="zh-CN"/>
              </w:rPr>
              <w:t>问题列举</w:t>
            </w:r>
          </w:p>
        </w:tc>
        <w:tc>
          <w:tcPr>
            <w:tcW w:w="1425" w:type="dxa"/>
            <w:vAlign w:val="center"/>
          </w:tcPr>
          <w:p>
            <w:pPr>
              <w:spacing w:line="360" w:lineRule="auto"/>
              <w:jc w:val="center"/>
              <w:rPr>
                <w:rFonts w:hint="eastAsia" w:ascii="楷体" w:hAnsi="楷体" w:eastAsia="楷体" w:cs="楷体"/>
                <w:b/>
                <w:bCs/>
                <w:color w:val="auto"/>
                <w:sz w:val="24"/>
                <w:szCs w:val="24"/>
                <w:vertAlign w:val="baseline"/>
                <w:lang w:val="en-US" w:eastAsia="zh-CN"/>
              </w:rPr>
            </w:pPr>
            <w:r>
              <w:rPr>
                <w:rFonts w:hint="eastAsia" w:ascii="楷体" w:hAnsi="楷体" w:eastAsia="楷体" w:cs="楷体"/>
                <w:b/>
                <w:bCs/>
                <w:color w:val="auto"/>
                <w:sz w:val="24"/>
                <w:szCs w:val="24"/>
                <w:vertAlign w:val="baseline"/>
                <w:lang w:val="en-US" w:eastAsia="zh-CN"/>
              </w:rPr>
              <w:t>罚款</w:t>
            </w:r>
          </w:p>
          <w:p>
            <w:pPr>
              <w:spacing w:line="360" w:lineRule="auto"/>
              <w:jc w:val="center"/>
              <w:rPr>
                <w:rFonts w:hint="eastAsia" w:ascii="楷体" w:hAnsi="楷体" w:eastAsia="楷体" w:cs="楷体"/>
                <w:b/>
                <w:bCs/>
                <w:color w:val="auto"/>
                <w:sz w:val="24"/>
                <w:szCs w:val="24"/>
                <w:vertAlign w:val="baseline"/>
                <w:lang w:val="en-US" w:eastAsia="zh-CN"/>
              </w:rPr>
            </w:pPr>
            <w:r>
              <w:rPr>
                <w:rFonts w:hint="eastAsia" w:ascii="楷体" w:hAnsi="楷体" w:eastAsia="楷体" w:cs="楷体"/>
                <w:b/>
                <w:bCs/>
                <w:color w:val="auto"/>
                <w:sz w:val="24"/>
                <w:szCs w:val="24"/>
                <w:vertAlign w:val="baseline"/>
                <w:lang w:val="en-US" w:eastAsia="zh-CN"/>
              </w:rPr>
              <w:t>（元）</w:t>
            </w:r>
          </w:p>
        </w:tc>
        <w:tc>
          <w:tcPr>
            <w:tcW w:w="710" w:type="dxa"/>
            <w:vAlign w:val="center"/>
          </w:tcPr>
          <w:p>
            <w:pPr>
              <w:spacing w:line="360" w:lineRule="auto"/>
              <w:jc w:val="center"/>
              <w:rPr>
                <w:rFonts w:hint="eastAsia" w:ascii="楷体" w:hAnsi="楷体" w:eastAsia="楷体" w:cs="楷体"/>
                <w:b/>
                <w:bCs/>
                <w:color w:val="auto"/>
                <w:sz w:val="24"/>
                <w:szCs w:val="24"/>
                <w:vertAlign w:val="baseline"/>
                <w:lang w:val="en-US" w:eastAsia="zh-CN"/>
              </w:rPr>
            </w:pPr>
            <w:r>
              <w:rPr>
                <w:rFonts w:hint="eastAsia" w:ascii="楷体" w:hAnsi="楷体" w:eastAsia="楷体" w:cs="楷体"/>
                <w:b/>
                <w:bCs/>
                <w:color w:val="auto"/>
                <w:sz w:val="24"/>
                <w:szCs w:val="24"/>
                <w:vertAlign w:val="baseline"/>
                <w:lang w:val="en-US" w:eastAsia="zh-CN"/>
              </w:rPr>
              <w:t>黄牌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vAlign w:val="center"/>
          </w:tcPr>
          <w:p>
            <w:pPr>
              <w:spacing w:line="36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1</w:t>
            </w:r>
          </w:p>
        </w:tc>
        <w:tc>
          <w:tcPr>
            <w:tcW w:w="1309" w:type="dxa"/>
            <w:vAlign w:val="center"/>
          </w:tcPr>
          <w:p>
            <w:pPr>
              <w:spacing w:line="36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t>场地围合</w:t>
            </w:r>
          </w:p>
        </w:tc>
        <w:tc>
          <w:tcPr>
            <w:tcW w:w="5547" w:type="dxa"/>
            <w:vAlign w:val="center"/>
          </w:tcPr>
          <w:p>
            <w:pPr>
              <w:spacing w:line="240" w:lineRule="auto"/>
              <w:jc w:val="left"/>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工地无围合或围合不到位且无专人看管（市政园林施工阶段可考虑不围合，但楼栋入口需有专人看管）。</w:t>
            </w:r>
          </w:p>
        </w:tc>
        <w:tc>
          <w:tcPr>
            <w:tcW w:w="1425" w:type="dxa"/>
            <w:vAlign w:val="center"/>
          </w:tcPr>
          <w:p>
            <w:pPr>
              <w:spacing w:line="36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w:t>
            </w:r>
          </w:p>
        </w:tc>
        <w:tc>
          <w:tcPr>
            <w:tcW w:w="710" w:type="dxa"/>
            <w:vAlign w:val="center"/>
          </w:tcPr>
          <w:p>
            <w:pPr>
              <w:spacing w:line="36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9" w:hRule="atLeast"/>
        </w:trPr>
        <w:tc>
          <w:tcPr>
            <w:tcW w:w="553" w:type="dxa"/>
            <w:vAlign w:val="center"/>
          </w:tcPr>
          <w:p>
            <w:pPr>
              <w:spacing w:line="36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w:t>
            </w:r>
          </w:p>
        </w:tc>
        <w:tc>
          <w:tcPr>
            <w:tcW w:w="1309" w:type="dxa"/>
            <w:vAlign w:val="center"/>
          </w:tcPr>
          <w:p>
            <w:pPr>
              <w:spacing w:line="36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t>危大工程</w:t>
            </w:r>
          </w:p>
        </w:tc>
        <w:tc>
          <w:tcPr>
            <w:tcW w:w="5547" w:type="dxa"/>
            <w:vAlign w:val="center"/>
          </w:tcPr>
          <w:p>
            <w:pPr>
              <w:spacing w:line="240" w:lineRule="auto"/>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1.</w:t>
            </w:r>
            <w:r>
              <w:rPr>
                <w:rFonts w:hint="eastAsia" w:ascii="楷体" w:hAnsi="楷体" w:eastAsia="楷体" w:cs="楷体"/>
                <w:b w:val="0"/>
                <w:bCs w:val="0"/>
                <w:color w:val="000000" w:themeColor="text1"/>
                <w:sz w:val="24"/>
                <w:szCs w:val="24"/>
                <w:vertAlign w:val="baseline"/>
                <w14:textFill>
                  <w14:solidFill>
                    <w14:schemeClr w14:val="tx1"/>
                  </w14:solidFill>
                </w14:textFill>
              </w:rPr>
              <w:t>危大分项工程无方案或</w:t>
            </w: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方案未经审批</w:t>
            </w:r>
            <w:r>
              <w:rPr>
                <w:rFonts w:hint="eastAsia" w:ascii="楷体" w:hAnsi="楷体" w:eastAsia="楷体" w:cs="楷体"/>
                <w:b w:val="0"/>
                <w:bCs w:val="0"/>
                <w:color w:val="000000" w:themeColor="text1"/>
                <w:sz w:val="24"/>
                <w:szCs w:val="24"/>
                <w:vertAlign w:val="baseline"/>
                <w14:textFill>
                  <w14:solidFill>
                    <w14:schemeClr w14:val="tx1"/>
                  </w14:solidFill>
                </w14:textFill>
              </w:rPr>
              <w:t>，</w:t>
            </w: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或</w:t>
            </w:r>
            <w:r>
              <w:rPr>
                <w:rFonts w:hint="eastAsia" w:ascii="楷体" w:hAnsi="楷体" w:eastAsia="楷体" w:cs="楷体"/>
                <w:b w:val="0"/>
                <w:bCs w:val="0"/>
                <w:color w:val="000000" w:themeColor="text1"/>
                <w:sz w:val="24"/>
                <w:szCs w:val="24"/>
                <w:vertAlign w:val="baseline"/>
                <w14:textFill>
                  <w14:solidFill>
                    <w14:schemeClr w14:val="tx1"/>
                  </w14:solidFill>
                </w14:textFill>
              </w:rPr>
              <w:t>未按</w:t>
            </w: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审批</w:t>
            </w:r>
            <w:r>
              <w:rPr>
                <w:rFonts w:hint="eastAsia" w:ascii="楷体" w:hAnsi="楷体" w:eastAsia="楷体" w:cs="楷体"/>
                <w:b w:val="0"/>
                <w:bCs w:val="0"/>
                <w:color w:val="000000" w:themeColor="text1"/>
                <w:sz w:val="24"/>
                <w:szCs w:val="24"/>
                <w:vertAlign w:val="baseline"/>
                <w14:textFill>
                  <w14:solidFill>
                    <w14:schemeClr w14:val="tx1"/>
                  </w14:solidFill>
                </w14:textFill>
              </w:rPr>
              <w:t>的方案现场执行</w:t>
            </w:r>
            <w:r>
              <w:rPr>
                <w:rFonts w:hint="eastAsia" w:ascii="楷体" w:hAnsi="楷体" w:eastAsia="楷体" w:cs="楷体"/>
                <w:b w:val="0"/>
                <w:bCs w:val="0"/>
                <w:color w:val="000000" w:themeColor="text1"/>
                <w:sz w:val="24"/>
                <w:szCs w:val="24"/>
                <w:vertAlign w:val="baseline"/>
                <w:lang w:eastAsia="zh-CN"/>
                <w14:textFill>
                  <w14:solidFill>
                    <w14:schemeClr w14:val="tx1"/>
                  </w14:solidFill>
                </w14:textFill>
              </w:rPr>
              <w:t>，</w:t>
            </w: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如高空外挑结构梁板、电梯井内支架、人货梯平台等；</w:t>
            </w:r>
          </w:p>
          <w:p>
            <w:pPr>
              <w:spacing w:line="240" w:lineRule="auto"/>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color w:val="000000" w:themeColor="text1"/>
                <w:sz w:val="24"/>
                <w:szCs w:val="24"/>
                <w:lang w:val="en-US" w:eastAsia="zh-CN"/>
                <w14:textFill>
                  <w14:solidFill>
                    <w14:schemeClr w14:val="tx1"/>
                  </w14:solidFill>
                </w14:textFill>
              </w:rPr>
              <w:t>2.</w:t>
            </w:r>
            <w:r>
              <w:rPr>
                <w:rFonts w:hint="eastAsia" w:ascii="楷体" w:hAnsi="楷体" w:eastAsia="楷体" w:cs="楷体"/>
                <w:color w:val="000000" w:themeColor="text1"/>
                <w:sz w:val="24"/>
                <w:szCs w:val="24"/>
                <w14:textFill>
                  <w14:solidFill>
                    <w14:schemeClr w14:val="tx1"/>
                  </w14:solidFill>
                </w14:textFill>
              </w:rPr>
              <w:t>未按规定组织对危险性较大的分部分项工程安全验收</w:t>
            </w:r>
            <w:r>
              <w:rPr>
                <w:rFonts w:hint="eastAsia" w:ascii="楷体" w:hAnsi="楷体" w:eastAsia="楷体" w:cs="楷体"/>
                <w:color w:val="000000" w:themeColor="text1"/>
                <w:sz w:val="24"/>
                <w:szCs w:val="24"/>
                <w:lang w:eastAsia="zh-CN"/>
                <w14:textFill>
                  <w14:solidFill>
                    <w14:schemeClr w14:val="tx1"/>
                  </w14:solidFill>
                </w14:textFill>
              </w:rPr>
              <w:t>，</w:t>
            </w:r>
            <w:r>
              <w:rPr>
                <w:rFonts w:hint="eastAsia" w:ascii="楷体" w:hAnsi="楷体" w:eastAsia="楷体" w:cs="楷体"/>
                <w:color w:val="000000" w:themeColor="text1"/>
                <w:sz w:val="24"/>
                <w:szCs w:val="24"/>
                <w:lang w:val="en-US" w:eastAsia="zh-CN"/>
                <w14:textFill>
                  <w14:solidFill>
                    <w14:schemeClr w14:val="tx1"/>
                  </w14:solidFill>
                </w14:textFill>
              </w:rPr>
              <w:t>无验收记录；合2项及以上</w:t>
            </w:r>
          </w:p>
        </w:tc>
        <w:tc>
          <w:tcPr>
            <w:tcW w:w="1425" w:type="dxa"/>
            <w:vAlign w:val="center"/>
          </w:tcPr>
          <w:p>
            <w:pPr>
              <w:spacing w:line="36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p>
          <w:p>
            <w:pPr>
              <w:spacing w:line="36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2000（每项500）</w:t>
            </w:r>
          </w:p>
        </w:tc>
        <w:tc>
          <w:tcPr>
            <w:tcW w:w="710" w:type="dxa"/>
            <w:vAlign w:val="center"/>
          </w:tcPr>
          <w:p>
            <w:pPr>
              <w:spacing w:line="36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exact"/>
        </w:trPr>
        <w:tc>
          <w:tcPr>
            <w:tcW w:w="553" w:type="dxa"/>
            <w:vAlign w:val="center"/>
          </w:tcPr>
          <w:p>
            <w:pPr>
              <w:spacing w:line="36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3</w:t>
            </w:r>
          </w:p>
        </w:tc>
        <w:tc>
          <w:tcPr>
            <w:tcW w:w="1309" w:type="dxa"/>
            <w:vMerge w:val="restart"/>
            <w:vAlign w:val="center"/>
          </w:tcPr>
          <w:p>
            <w:pPr>
              <w:spacing w:line="36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t>深基坑</w:t>
            </w:r>
          </w:p>
        </w:tc>
        <w:tc>
          <w:tcPr>
            <w:tcW w:w="5547" w:type="dxa"/>
            <w:vAlign w:val="center"/>
          </w:tcPr>
          <w:p>
            <w:pPr>
              <w:pStyle w:val="8"/>
              <w:numPr>
                <w:ilvl w:val="0"/>
                <w:numId w:val="0"/>
              </w:numPr>
              <w:spacing w:line="240" w:lineRule="auto"/>
              <w:ind w:leftChars="0"/>
              <w:rPr>
                <w:rFonts w:hint="eastAsia"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1.基坑施工前，应按照设计及方案要求编制基坑工程监测方案；</w:t>
            </w:r>
          </w:p>
        </w:tc>
        <w:tc>
          <w:tcPr>
            <w:tcW w:w="1425" w:type="dxa"/>
            <w:vAlign w:val="center"/>
          </w:tcPr>
          <w:p>
            <w:pPr>
              <w:spacing w:line="240" w:lineRule="auto"/>
              <w:ind w:firstLine="0" w:firstLineChars="0"/>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w:t>
            </w:r>
          </w:p>
        </w:tc>
        <w:tc>
          <w:tcPr>
            <w:tcW w:w="710" w:type="dxa"/>
            <w:vAlign w:val="center"/>
          </w:tcPr>
          <w:p>
            <w:pPr>
              <w:spacing w:line="24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exact"/>
        </w:trPr>
        <w:tc>
          <w:tcPr>
            <w:tcW w:w="553" w:type="dxa"/>
            <w:vAlign w:val="center"/>
          </w:tcPr>
          <w:p>
            <w:pPr>
              <w:spacing w:line="36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4</w:t>
            </w:r>
          </w:p>
        </w:tc>
        <w:tc>
          <w:tcPr>
            <w:tcW w:w="1309" w:type="dxa"/>
            <w:vMerge w:val="continue"/>
            <w:vAlign w:val="center"/>
          </w:tcPr>
          <w:p>
            <w:pPr>
              <w:spacing w:line="36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p>
        </w:tc>
        <w:tc>
          <w:tcPr>
            <w:tcW w:w="5547" w:type="dxa"/>
            <w:vAlign w:val="center"/>
          </w:tcPr>
          <w:p>
            <w:pPr>
              <w:pStyle w:val="8"/>
              <w:numPr>
                <w:ilvl w:val="0"/>
                <w:numId w:val="0"/>
              </w:numPr>
              <w:spacing w:line="240" w:lineRule="auto"/>
              <w:ind w:leftChars="0"/>
              <w:rPr>
                <w:rFonts w:hint="eastAsia"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2.基坑开挖面上方的锚杆、土钉、支撑未达到设计要求时，继续向下开挖土方；采用锚杆或支撑的支护结构，在未达到设计规定的拆除条件时，拆除锚杆或支撑；</w:t>
            </w:r>
          </w:p>
          <w:p>
            <w:pPr>
              <w:pStyle w:val="8"/>
              <w:numPr>
                <w:ilvl w:val="0"/>
                <w:numId w:val="0"/>
              </w:numPr>
              <w:spacing w:line="240" w:lineRule="auto"/>
              <w:ind w:leftChars="0"/>
              <w:rPr>
                <w:rFonts w:hint="eastAsia" w:ascii="楷体" w:hAnsi="楷体" w:eastAsia="楷体" w:cs="楷体"/>
                <w:b w:val="0"/>
                <w:bCs w:val="0"/>
                <w:color w:val="000000" w:themeColor="text1"/>
                <w:sz w:val="24"/>
                <w:szCs w:val="24"/>
                <w:lang w:val="en-US" w:eastAsia="zh-CN"/>
                <w14:textFill>
                  <w14:solidFill>
                    <w14:schemeClr w14:val="tx1"/>
                  </w14:solidFill>
                </w14:textFill>
              </w:rPr>
            </w:pPr>
          </w:p>
        </w:tc>
        <w:tc>
          <w:tcPr>
            <w:tcW w:w="1425" w:type="dxa"/>
            <w:vAlign w:val="center"/>
          </w:tcPr>
          <w:p>
            <w:pPr>
              <w:spacing w:line="36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w:t>
            </w:r>
          </w:p>
        </w:tc>
        <w:tc>
          <w:tcPr>
            <w:tcW w:w="710" w:type="dxa"/>
            <w:vAlign w:val="center"/>
          </w:tcPr>
          <w:p>
            <w:pPr>
              <w:spacing w:line="36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553" w:type="dxa"/>
            <w:vAlign w:val="center"/>
          </w:tcPr>
          <w:p>
            <w:pPr>
              <w:spacing w:line="36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5</w:t>
            </w:r>
          </w:p>
        </w:tc>
        <w:tc>
          <w:tcPr>
            <w:tcW w:w="1309" w:type="dxa"/>
            <w:vMerge w:val="continue"/>
            <w:vAlign w:val="center"/>
          </w:tcPr>
          <w:p>
            <w:pPr>
              <w:spacing w:line="36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p>
        </w:tc>
        <w:tc>
          <w:tcPr>
            <w:tcW w:w="5547" w:type="dxa"/>
            <w:vAlign w:val="center"/>
          </w:tcPr>
          <w:p>
            <w:pPr>
              <w:pStyle w:val="8"/>
              <w:numPr>
                <w:ilvl w:val="0"/>
                <w:numId w:val="0"/>
              </w:numPr>
              <w:spacing w:line="240" w:lineRule="auto"/>
              <w:ind w:leftChars="0"/>
              <w:rPr>
                <w:rFonts w:hint="eastAsia"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3.基坑周边存在超过设计要求的地面荷载限值的施工材料、设施或车辆荷载；</w:t>
            </w:r>
          </w:p>
        </w:tc>
        <w:tc>
          <w:tcPr>
            <w:tcW w:w="1425"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w:t>
            </w:r>
          </w:p>
        </w:tc>
        <w:tc>
          <w:tcPr>
            <w:tcW w:w="710"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53" w:type="dxa"/>
            <w:vAlign w:val="center"/>
          </w:tcPr>
          <w:p>
            <w:pPr>
              <w:spacing w:line="36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6</w:t>
            </w:r>
          </w:p>
        </w:tc>
        <w:tc>
          <w:tcPr>
            <w:tcW w:w="1309" w:type="dxa"/>
            <w:vMerge w:val="continue"/>
            <w:vAlign w:val="center"/>
          </w:tcPr>
          <w:p>
            <w:pPr>
              <w:spacing w:line="36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p>
        </w:tc>
        <w:tc>
          <w:tcPr>
            <w:tcW w:w="5547" w:type="dxa"/>
            <w:vAlign w:val="center"/>
          </w:tcPr>
          <w:p>
            <w:pPr>
              <w:pStyle w:val="8"/>
              <w:numPr>
                <w:ilvl w:val="0"/>
                <w:numId w:val="0"/>
              </w:numPr>
              <w:spacing w:line="240" w:lineRule="auto"/>
              <w:ind w:leftChars="0"/>
              <w:rPr>
                <w:rFonts w:hint="eastAsia"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4.基坑临边防护存在大面积缺失现象。（临边防护存在5处（1米范围为1处）及以上缺失或整条临边漏设现象）；</w:t>
            </w:r>
          </w:p>
        </w:tc>
        <w:tc>
          <w:tcPr>
            <w:tcW w:w="1425"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w:t>
            </w:r>
          </w:p>
        </w:tc>
        <w:tc>
          <w:tcPr>
            <w:tcW w:w="710"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553" w:type="dxa"/>
            <w:vAlign w:val="center"/>
          </w:tcPr>
          <w:p>
            <w:pPr>
              <w:spacing w:line="36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7</w:t>
            </w:r>
          </w:p>
        </w:tc>
        <w:tc>
          <w:tcPr>
            <w:tcW w:w="1309" w:type="dxa"/>
            <w:vMerge w:val="continue"/>
            <w:vAlign w:val="center"/>
          </w:tcPr>
          <w:p>
            <w:pPr>
              <w:spacing w:line="36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p>
        </w:tc>
        <w:tc>
          <w:tcPr>
            <w:tcW w:w="5547" w:type="dxa"/>
            <w:vAlign w:val="center"/>
          </w:tcPr>
          <w:p>
            <w:pPr>
              <w:pStyle w:val="8"/>
              <w:numPr>
                <w:ilvl w:val="0"/>
                <w:numId w:val="0"/>
              </w:numPr>
              <w:spacing w:line="240" w:lineRule="auto"/>
              <w:ind w:leftChars="0"/>
              <w:rPr>
                <w:rFonts w:hint="eastAsia"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5.基坑支护结构已超有效使用期，未重新进行验算、论证、编制方案，或未按照方案、论证执行。</w:t>
            </w:r>
          </w:p>
        </w:tc>
        <w:tc>
          <w:tcPr>
            <w:tcW w:w="1425" w:type="dxa"/>
            <w:vAlign w:val="center"/>
          </w:tcPr>
          <w:p>
            <w:pPr>
              <w:spacing w:line="24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w:t>
            </w:r>
          </w:p>
        </w:tc>
        <w:tc>
          <w:tcPr>
            <w:tcW w:w="710" w:type="dxa"/>
            <w:vAlign w:val="center"/>
          </w:tcPr>
          <w:p>
            <w:pPr>
              <w:spacing w:line="36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vAlign w:val="center"/>
          </w:tcPr>
          <w:p>
            <w:pPr>
              <w:spacing w:line="36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8</w:t>
            </w:r>
          </w:p>
        </w:tc>
        <w:tc>
          <w:tcPr>
            <w:tcW w:w="1309" w:type="dxa"/>
            <w:vAlign w:val="center"/>
          </w:tcPr>
          <w:p>
            <w:pPr>
              <w:spacing w:line="36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t>模板支撑</w:t>
            </w:r>
          </w:p>
        </w:tc>
        <w:tc>
          <w:tcPr>
            <w:tcW w:w="5547" w:type="dxa"/>
            <w:vAlign w:val="center"/>
          </w:tcPr>
          <w:p>
            <w:pPr>
              <w:pStyle w:val="8"/>
              <w:numPr>
                <w:ilvl w:val="0"/>
                <w:numId w:val="0"/>
              </w:numPr>
              <w:spacing w:line="240" w:lineRule="auto"/>
              <w:rPr>
                <w:rFonts w:hint="eastAsia"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1.支撑悬空，无方案或未按方案执行。</w:t>
            </w:r>
          </w:p>
          <w:p>
            <w:pPr>
              <w:pStyle w:val="8"/>
              <w:numPr>
                <w:ilvl w:val="0"/>
                <w:numId w:val="0"/>
              </w:numPr>
              <w:spacing w:line="240" w:lineRule="auto"/>
              <w:rPr>
                <w:rFonts w:hint="eastAsia"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2.任一跨板扫地杆或拉杆缺失达50%以上（方向）</w:t>
            </w:r>
          </w:p>
          <w:p>
            <w:pPr>
              <w:pStyle w:val="8"/>
              <w:numPr>
                <w:ilvl w:val="0"/>
                <w:numId w:val="0"/>
              </w:numPr>
              <w:spacing w:line="240" w:lineRule="auto"/>
              <w:rPr>
                <w:rFonts w:hint="eastAsia"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合2处及以上</w:t>
            </w:r>
          </w:p>
        </w:tc>
        <w:tc>
          <w:tcPr>
            <w:tcW w:w="1425" w:type="dxa"/>
            <w:vAlign w:val="center"/>
          </w:tcPr>
          <w:p>
            <w:pPr>
              <w:spacing w:line="360" w:lineRule="auto"/>
              <w:jc w:val="both"/>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2000（每处1000）</w:t>
            </w:r>
          </w:p>
        </w:tc>
        <w:tc>
          <w:tcPr>
            <w:tcW w:w="710" w:type="dxa"/>
            <w:vAlign w:val="center"/>
          </w:tcPr>
          <w:p>
            <w:pPr>
              <w:spacing w:line="36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vAlign w:val="center"/>
          </w:tcPr>
          <w:p>
            <w:pPr>
              <w:spacing w:line="36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9</w:t>
            </w:r>
          </w:p>
        </w:tc>
        <w:tc>
          <w:tcPr>
            <w:tcW w:w="1309" w:type="dxa"/>
            <w:vAlign w:val="center"/>
          </w:tcPr>
          <w:p>
            <w:pPr>
              <w:spacing w:line="36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t>四口五临边</w:t>
            </w:r>
          </w:p>
        </w:tc>
        <w:tc>
          <w:tcPr>
            <w:tcW w:w="5547" w:type="dxa"/>
            <w:vAlign w:val="center"/>
          </w:tcPr>
          <w:p>
            <w:pPr>
              <w:spacing w:line="360" w:lineRule="auto"/>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临边防护缺失；存在2处及以上；</w:t>
            </w:r>
          </w:p>
        </w:tc>
        <w:tc>
          <w:tcPr>
            <w:tcW w:w="1425" w:type="dxa"/>
            <w:vAlign w:val="center"/>
          </w:tcPr>
          <w:p>
            <w:pPr>
              <w:spacing w:line="36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5000（每处3000）</w:t>
            </w:r>
          </w:p>
        </w:tc>
        <w:tc>
          <w:tcPr>
            <w:tcW w:w="710" w:type="dxa"/>
            <w:vAlign w:val="center"/>
          </w:tcPr>
          <w:p>
            <w:pPr>
              <w:spacing w:line="36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553" w:type="dxa"/>
            <w:vAlign w:val="center"/>
          </w:tcPr>
          <w:p>
            <w:pPr>
              <w:spacing w:line="36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10</w:t>
            </w:r>
          </w:p>
        </w:tc>
        <w:tc>
          <w:tcPr>
            <w:tcW w:w="1309" w:type="dxa"/>
            <w:vAlign w:val="center"/>
          </w:tcPr>
          <w:p>
            <w:pPr>
              <w:spacing w:line="36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t>普通钢管脚手架</w:t>
            </w:r>
          </w:p>
        </w:tc>
        <w:tc>
          <w:tcPr>
            <w:tcW w:w="5547" w:type="dxa"/>
            <w:vAlign w:val="center"/>
          </w:tcPr>
          <w:p>
            <w:pPr>
              <w:keepNext w:val="0"/>
              <w:keepLines w:val="0"/>
              <w:widowControl/>
              <w:numPr>
                <w:ilvl w:val="0"/>
                <w:numId w:val="0"/>
              </w:numPr>
              <w:suppressLineNumbers w:val="0"/>
              <w:jc w:val="left"/>
              <w:textAlignment w:val="center"/>
              <w:rPr>
                <w:rStyle w:val="10"/>
                <w:rFonts w:hint="eastAsia" w:ascii="楷体" w:hAnsi="楷体" w:eastAsia="楷体" w:cs="楷体"/>
                <w:b w:val="0"/>
                <w:bCs w:val="0"/>
                <w:color w:val="000000" w:themeColor="text1"/>
                <w:sz w:val="24"/>
                <w:szCs w:val="24"/>
                <w:lang w:val="en-US" w:eastAsia="zh-CN" w:bidi="ar"/>
                <w14:textFill>
                  <w14:solidFill>
                    <w14:schemeClr w14:val="tx1"/>
                  </w14:solidFill>
                </w14:textFill>
              </w:rPr>
            </w:pPr>
            <w:r>
              <w:rPr>
                <w:rStyle w:val="10"/>
                <w:rFonts w:hint="eastAsia" w:ascii="楷体" w:hAnsi="楷体" w:eastAsia="楷体" w:cs="楷体"/>
                <w:b w:val="0"/>
                <w:bCs w:val="0"/>
                <w:color w:val="000000" w:themeColor="text1"/>
                <w:sz w:val="24"/>
                <w:szCs w:val="24"/>
                <w:lang w:val="en-US" w:eastAsia="zh-CN" w:bidi="ar"/>
                <w14:textFill>
                  <w14:solidFill>
                    <w14:schemeClr w14:val="tx1"/>
                  </w14:solidFill>
                </w14:textFill>
              </w:rPr>
              <w:t>1.架体外侧设置连续式剪刀撑，剪刀撑设置不符合要求；</w:t>
            </w:r>
          </w:p>
          <w:p>
            <w:pPr>
              <w:keepNext w:val="0"/>
              <w:keepLines w:val="0"/>
              <w:widowControl/>
              <w:numPr>
                <w:ilvl w:val="0"/>
                <w:numId w:val="0"/>
              </w:numPr>
              <w:suppressLineNumbers w:val="0"/>
              <w:jc w:val="left"/>
              <w:textAlignment w:val="center"/>
              <w:rPr>
                <w:rFonts w:hint="eastAsia" w:ascii="楷体" w:hAnsi="楷体" w:eastAsia="楷体" w:cs="楷体"/>
                <w:b w:val="0"/>
                <w:bCs w:val="0"/>
                <w:color w:val="000000" w:themeColor="text1"/>
                <w:sz w:val="24"/>
                <w:szCs w:val="24"/>
                <w:vertAlign w:val="baseline"/>
                <w14:textFill>
                  <w14:solidFill>
                    <w14:schemeClr w14:val="tx1"/>
                  </w14:solidFill>
                </w14:textFill>
              </w:rPr>
            </w:pPr>
            <w:r>
              <w:rPr>
                <w:rStyle w:val="10"/>
                <w:rFonts w:hint="eastAsia" w:ascii="楷体" w:hAnsi="楷体" w:eastAsia="楷体" w:cs="楷体"/>
                <w:b w:val="0"/>
                <w:bCs w:val="0"/>
                <w:color w:val="000000" w:themeColor="text1"/>
                <w:sz w:val="24"/>
                <w:szCs w:val="24"/>
                <w:lang w:val="en-US" w:eastAsia="zh-CN" w:bidi="ar"/>
                <w14:textFill>
                  <w14:solidFill>
                    <w14:schemeClr w14:val="tx1"/>
                  </w14:solidFill>
                </w14:textFill>
              </w:rPr>
              <w:t>2.架体未按规定与建筑结构拉结；</w:t>
            </w:r>
          </w:p>
          <w:p>
            <w:pPr>
              <w:keepNext w:val="0"/>
              <w:keepLines w:val="0"/>
              <w:widowControl/>
              <w:numPr>
                <w:ilvl w:val="0"/>
                <w:numId w:val="0"/>
              </w:numPr>
              <w:suppressLineNumbers w:val="0"/>
              <w:jc w:val="left"/>
              <w:textAlignment w:val="center"/>
              <w:rPr>
                <w:rFonts w:hint="eastAsia" w:ascii="楷体" w:hAnsi="楷体" w:eastAsia="楷体" w:cs="楷体"/>
                <w:b w:val="0"/>
                <w:bCs w:val="0"/>
                <w:color w:val="000000" w:themeColor="text1"/>
                <w:sz w:val="24"/>
                <w:szCs w:val="24"/>
                <w:vertAlign w:val="baseline"/>
                <w14:textFill>
                  <w14:solidFill>
                    <w14:schemeClr w14:val="tx1"/>
                  </w14:solidFill>
                </w14:textFill>
              </w:rPr>
            </w:pPr>
            <w:r>
              <w:rPr>
                <w:rStyle w:val="10"/>
                <w:rFonts w:hint="eastAsia" w:ascii="楷体" w:hAnsi="楷体" w:eastAsia="楷体" w:cs="楷体"/>
                <w:b w:val="0"/>
                <w:bCs w:val="0"/>
                <w:color w:val="000000" w:themeColor="text1"/>
                <w:sz w:val="24"/>
                <w:szCs w:val="24"/>
                <w:lang w:val="en-US" w:eastAsia="zh-CN" w:bidi="ar"/>
                <w14:textFill>
                  <w14:solidFill>
                    <w14:schemeClr w14:val="tx1"/>
                  </w14:solidFill>
                </w14:textFill>
              </w:rPr>
              <w:t>3.架体搭设滞后；</w:t>
            </w:r>
          </w:p>
          <w:p>
            <w:pPr>
              <w:keepNext w:val="0"/>
              <w:keepLines w:val="0"/>
              <w:widowControl/>
              <w:numPr>
                <w:ilvl w:val="0"/>
                <w:numId w:val="0"/>
              </w:numPr>
              <w:suppressLineNumbers w:val="0"/>
              <w:jc w:val="left"/>
              <w:textAlignment w:val="center"/>
              <w:rPr>
                <w:rFonts w:hint="eastAsia" w:ascii="楷体" w:hAnsi="楷体" w:eastAsia="楷体" w:cs="楷体"/>
                <w:b w:val="0"/>
                <w:bCs w:val="0"/>
                <w:color w:val="000000" w:themeColor="text1"/>
                <w:sz w:val="24"/>
                <w:szCs w:val="24"/>
                <w:vertAlign w:val="baseline"/>
                <w14:textFill>
                  <w14:solidFill>
                    <w14:schemeClr w14:val="tx1"/>
                  </w14:solidFill>
                </w14:textFill>
              </w:rPr>
            </w:pPr>
            <w:r>
              <w:rPr>
                <w:rStyle w:val="10"/>
                <w:rFonts w:hint="eastAsia" w:ascii="楷体" w:hAnsi="楷体" w:eastAsia="楷体" w:cs="楷体"/>
                <w:b w:val="0"/>
                <w:bCs w:val="0"/>
                <w:color w:val="000000" w:themeColor="text1"/>
                <w:sz w:val="24"/>
                <w:szCs w:val="24"/>
                <w:lang w:val="en-US" w:eastAsia="zh-CN" w:bidi="ar"/>
                <w14:textFill>
                  <w14:solidFill>
                    <w14:schemeClr w14:val="tx1"/>
                  </w14:solidFill>
                </w14:textFill>
              </w:rPr>
              <w:t xml:space="preserve">4.脚手架体上堆放重物超过设计值；    </w:t>
            </w:r>
          </w:p>
          <w:p>
            <w:pPr>
              <w:keepNext w:val="0"/>
              <w:keepLines w:val="0"/>
              <w:widowControl/>
              <w:numPr>
                <w:ilvl w:val="0"/>
                <w:numId w:val="0"/>
              </w:numPr>
              <w:suppressLineNumbers w:val="0"/>
              <w:jc w:val="left"/>
              <w:textAlignment w:val="center"/>
              <w:rPr>
                <w:rFonts w:hint="eastAsia" w:ascii="楷体" w:hAnsi="楷体" w:eastAsia="楷体" w:cs="楷体"/>
                <w:b w:val="0"/>
                <w:bCs w:val="0"/>
                <w:color w:val="000000" w:themeColor="text1"/>
                <w:sz w:val="24"/>
                <w:szCs w:val="24"/>
                <w:vertAlign w:val="baseline"/>
                <w14:textFill>
                  <w14:solidFill>
                    <w14:schemeClr w14:val="tx1"/>
                  </w14:solidFill>
                </w14:textFill>
              </w:rPr>
            </w:pPr>
            <w:r>
              <w:rPr>
                <w:rStyle w:val="10"/>
                <w:rFonts w:hint="eastAsia" w:ascii="楷体" w:hAnsi="楷体" w:eastAsia="楷体" w:cs="楷体"/>
                <w:b w:val="0"/>
                <w:bCs w:val="0"/>
                <w:color w:val="000000" w:themeColor="text1"/>
                <w:sz w:val="24"/>
                <w:szCs w:val="24"/>
                <w:lang w:val="en-US" w:eastAsia="zh-CN" w:bidi="ar"/>
                <w14:textFill>
                  <w14:solidFill>
                    <w14:schemeClr w14:val="tx1"/>
                  </w14:solidFill>
                </w14:textFill>
              </w:rPr>
              <w:t xml:space="preserve">合5处以上。  </w:t>
            </w:r>
          </w:p>
        </w:tc>
        <w:tc>
          <w:tcPr>
            <w:tcW w:w="1425" w:type="dxa"/>
            <w:vAlign w:val="center"/>
          </w:tcPr>
          <w:p>
            <w:pPr>
              <w:spacing w:line="36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p>
          <w:p>
            <w:pPr>
              <w:spacing w:line="36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2000（每处400）</w:t>
            </w:r>
          </w:p>
        </w:tc>
        <w:tc>
          <w:tcPr>
            <w:tcW w:w="710" w:type="dxa"/>
            <w:vAlign w:val="center"/>
          </w:tcPr>
          <w:p>
            <w:pPr>
              <w:spacing w:line="36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vAlign w:val="center"/>
          </w:tcPr>
          <w:p>
            <w:pPr>
              <w:spacing w:line="36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11</w:t>
            </w:r>
          </w:p>
        </w:tc>
        <w:tc>
          <w:tcPr>
            <w:tcW w:w="1309" w:type="dxa"/>
            <w:vAlign w:val="center"/>
          </w:tcPr>
          <w:p>
            <w:pPr>
              <w:spacing w:line="36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t>悬挑钢梁脚手架</w:t>
            </w:r>
          </w:p>
        </w:tc>
        <w:tc>
          <w:tcPr>
            <w:tcW w:w="5547" w:type="dxa"/>
            <w:vAlign w:val="center"/>
          </w:tcPr>
          <w:p>
            <w:pPr>
              <w:keepNext w:val="0"/>
              <w:keepLines w:val="0"/>
              <w:widowControl/>
              <w:suppressLineNumbers w:val="0"/>
              <w:jc w:val="left"/>
              <w:textAlignment w:val="cente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pPr>
            <w: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t>悬挑钢梁：1.钢梁截面高度未按设计确定或载面高度小于160mm；2.钢梁固定段长度小于悬挑段长度的1.25倍；3.锚固螺栓与型钢间隙应用钢楔或硬木楔楔紧；4.钢梁外端未设置钢丝绳或钢拉杆，与上一层建筑结构拉结，钢梁与建筑结构锚固措施不符合规范要求；卸载钢丝绳设置不符合要求；5.悬挑架最底层应满铺脚手板并进行全封闭防护，立杆内侧设置180mm高踢脚板。</w:t>
            </w:r>
          </w:p>
          <w:p>
            <w:pPr>
              <w:keepNext w:val="0"/>
              <w:keepLines w:val="0"/>
              <w:widowControl/>
              <w:suppressLineNumbers w:val="0"/>
              <w:jc w:val="left"/>
              <w:textAlignment w:val="center"/>
              <w:rPr>
                <w:rFonts w:hint="eastAsia" w:ascii="楷体" w:hAnsi="楷体" w:eastAsia="楷体" w:cs="楷体"/>
                <w:b w:val="0"/>
                <w:bCs w:val="0"/>
                <w:color w:val="000000" w:themeColor="text1"/>
                <w:sz w:val="24"/>
                <w:szCs w:val="24"/>
                <w:vertAlign w:val="baseline"/>
                <w14:textFill>
                  <w14:solidFill>
                    <w14:schemeClr w14:val="tx1"/>
                  </w14:solidFill>
                </w14:textFill>
              </w:rPr>
            </w:pPr>
            <w: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t>合5处及以上</w:t>
            </w:r>
          </w:p>
        </w:tc>
        <w:tc>
          <w:tcPr>
            <w:tcW w:w="1425" w:type="dxa"/>
            <w:vAlign w:val="center"/>
          </w:tcPr>
          <w:p>
            <w:pPr>
              <w:spacing w:line="36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2000（每处400）</w:t>
            </w:r>
          </w:p>
        </w:tc>
        <w:tc>
          <w:tcPr>
            <w:tcW w:w="710" w:type="dxa"/>
            <w:vAlign w:val="center"/>
          </w:tcPr>
          <w:p>
            <w:pPr>
              <w:spacing w:line="36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trPr>
        <w:tc>
          <w:tcPr>
            <w:tcW w:w="553" w:type="dxa"/>
            <w:vAlign w:val="center"/>
          </w:tcPr>
          <w:p>
            <w:pPr>
              <w:spacing w:line="36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12</w:t>
            </w:r>
          </w:p>
        </w:tc>
        <w:tc>
          <w:tcPr>
            <w:tcW w:w="1309" w:type="dxa"/>
            <w:vAlign w:val="center"/>
          </w:tcPr>
          <w:p>
            <w:pPr>
              <w:spacing w:line="36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斜拉杆式悬挑架</w:t>
            </w:r>
          </w:p>
        </w:tc>
        <w:tc>
          <w:tcPr>
            <w:tcW w:w="5547" w:type="dxa"/>
            <w:vAlign w:val="center"/>
          </w:tcPr>
          <w:p>
            <w:pPr>
              <w:numPr>
                <w:ilvl w:val="0"/>
                <w:numId w:val="0"/>
              </w:numPr>
              <w:spacing w:line="240" w:lineRule="auto"/>
              <w:jc w:val="left"/>
              <w:rPr>
                <w:rFonts w:hint="eastAsia" w:ascii="楷体" w:hAnsi="楷体" w:eastAsia="楷体" w:cs="楷体"/>
                <w:color w:val="000000" w:themeColor="text1"/>
                <w:sz w:val="24"/>
                <w:szCs w:val="24"/>
                <w:lang w:val="en-US" w:eastAsia="zh-CN"/>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1.</w:t>
            </w:r>
            <w:r>
              <w:rPr>
                <w:rFonts w:hint="eastAsia" w:ascii="楷体" w:hAnsi="楷体" w:eastAsia="楷体" w:cs="楷体"/>
                <w:b w:val="0"/>
                <w:bCs w:val="0"/>
                <w:color w:val="000000" w:themeColor="text1"/>
                <w:sz w:val="24"/>
                <w:szCs w:val="24"/>
                <w14:textFill>
                  <w14:solidFill>
                    <w14:schemeClr w14:val="tx1"/>
                  </w14:solidFill>
                </w14:textFill>
              </w:rPr>
              <w:t>工字钢连接钢板厚度小于12mm</w:t>
            </w:r>
            <w:r>
              <w:rPr>
                <w:rFonts w:hint="eastAsia" w:ascii="楷体" w:hAnsi="楷体" w:eastAsia="楷体" w:cs="楷体"/>
                <w:b w:val="0"/>
                <w:bCs w:val="0"/>
                <w:color w:val="000000" w:themeColor="text1"/>
                <w:sz w:val="24"/>
                <w:szCs w:val="24"/>
                <w:lang w:eastAsia="zh-CN"/>
                <w14:textFill>
                  <w14:solidFill>
                    <w14:schemeClr w14:val="tx1"/>
                  </w14:solidFill>
                </w14:textFill>
              </w:rPr>
              <w:t>；</w:t>
            </w:r>
            <w:r>
              <w:rPr>
                <w:rFonts w:hint="eastAsia" w:ascii="楷体" w:hAnsi="楷体" w:eastAsia="楷体" w:cs="楷体"/>
                <w:b w:val="0"/>
                <w:bCs w:val="0"/>
                <w:color w:val="000000" w:themeColor="text1"/>
                <w:sz w:val="24"/>
                <w:szCs w:val="24"/>
                <w:lang w:val="en-US" w:eastAsia="zh-CN"/>
                <w14:textFill>
                  <w14:solidFill>
                    <w14:schemeClr w14:val="tx1"/>
                  </w14:solidFill>
                </w14:textFill>
              </w:rPr>
              <w:t>2.</w:t>
            </w:r>
            <w:r>
              <w:rPr>
                <w:rFonts w:hint="eastAsia" w:ascii="楷体" w:hAnsi="楷体" w:eastAsia="楷体" w:cs="楷体"/>
                <w:b w:val="0"/>
                <w:bCs w:val="0"/>
                <w:color w:val="000000" w:themeColor="text1"/>
                <w:sz w:val="24"/>
                <w:szCs w:val="24"/>
                <w14:textFill>
                  <w14:solidFill>
                    <w14:schemeClr w14:val="tx1"/>
                  </w14:solidFill>
                </w14:textFill>
              </w:rPr>
              <w:t>加工焊接焊缝厚度小于8mm焊缝长度小于20cm (双边各10cm)</w:t>
            </w:r>
            <w:r>
              <w:rPr>
                <w:rFonts w:hint="eastAsia" w:ascii="楷体" w:hAnsi="楷体" w:eastAsia="楷体" w:cs="楷体"/>
                <w:b w:val="0"/>
                <w:bCs w:val="0"/>
                <w:color w:val="000000" w:themeColor="text1"/>
                <w:sz w:val="24"/>
                <w:szCs w:val="24"/>
                <w:lang w:eastAsia="zh-CN"/>
                <w14:textFill>
                  <w14:solidFill>
                    <w14:schemeClr w14:val="tx1"/>
                  </w14:solidFill>
                </w14:textFill>
              </w:rPr>
              <w:t>；</w:t>
            </w:r>
            <w:r>
              <w:rPr>
                <w:rFonts w:hint="eastAsia" w:ascii="楷体" w:hAnsi="楷体" w:eastAsia="楷体" w:cs="楷体"/>
                <w:b w:val="0"/>
                <w:bCs w:val="0"/>
                <w:color w:val="000000" w:themeColor="text1"/>
                <w:sz w:val="24"/>
                <w:szCs w:val="24"/>
                <w:lang w:val="en-US" w:eastAsia="zh-CN"/>
                <w14:textFill>
                  <w14:solidFill>
                    <w14:schemeClr w14:val="tx1"/>
                  </w14:solidFill>
                </w14:textFill>
              </w:rPr>
              <w:t>3.</w:t>
            </w:r>
            <w:r>
              <w:rPr>
                <w:rFonts w:hint="eastAsia" w:ascii="楷体" w:hAnsi="楷体" w:eastAsia="楷体" w:cs="楷体"/>
                <w:b w:val="0"/>
                <w:bCs w:val="0"/>
                <w:color w:val="000000" w:themeColor="text1"/>
                <w:sz w:val="24"/>
                <w:szCs w:val="24"/>
                <w14:textFill>
                  <w14:solidFill>
                    <w14:schemeClr w14:val="tx1"/>
                  </w14:solidFill>
                </w14:textFill>
              </w:rPr>
              <w:t>穿墙螺杆不是高强螺杆</w:t>
            </w:r>
            <w:r>
              <w:rPr>
                <w:rFonts w:hint="eastAsia" w:ascii="楷体" w:hAnsi="楷体" w:eastAsia="楷体" w:cs="楷体"/>
                <w:b w:val="0"/>
                <w:bCs w:val="0"/>
                <w:color w:val="000000" w:themeColor="text1"/>
                <w:sz w:val="24"/>
                <w:szCs w:val="24"/>
                <w:lang w:eastAsia="zh-CN"/>
                <w14:textFill>
                  <w14:solidFill>
                    <w14:schemeClr w14:val="tx1"/>
                  </w14:solidFill>
                </w14:textFill>
              </w:rPr>
              <w:t>；</w:t>
            </w:r>
            <w:r>
              <w:rPr>
                <w:rFonts w:hint="eastAsia" w:ascii="楷体" w:hAnsi="楷体" w:eastAsia="楷体" w:cs="楷体"/>
                <w:b w:val="0"/>
                <w:bCs w:val="0"/>
                <w:color w:val="000000" w:themeColor="text1"/>
                <w:sz w:val="24"/>
                <w:szCs w:val="24"/>
                <w:lang w:val="en-US" w:eastAsia="zh-CN"/>
                <w14:textFill>
                  <w14:solidFill>
                    <w14:schemeClr w14:val="tx1"/>
                  </w14:solidFill>
                </w14:textFill>
              </w:rPr>
              <w:t>4.</w:t>
            </w:r>
            <w:r>
              <w:rPr>
                <w:rFonts w:hint="eastAsia" w:ascii="楷体" w:hAnsi="楷体" w:eastAsia="楷体" w:cs="楷体"/>
                <w:b w:val="0"/>
                <w:bCs w:val="0"/>
                <w:color w:val="000000" w:themeColor="text1"/>
                <w:sz w:val="24"/>
                <w:szCs w:val="24"/>
                <w14:textFill>
                  <w14:solidFill>
                    <w14:schemeClr w14:val="tx1"/>
                  </w14:solidFill>
                </w14:textFill>
              </w:rPr>
              <w:t>垫片尺寸小于80mm×80mm×8mm</w:t>
            </w:r>
            <w:r>
              <w:rPr>
                <w:rFonts w:hint="eastAsia" w:ascii="楷体" w:hAnsi="楷体" w:eastAsia="楷体" w:cs="楷体"/>
                <w:b w:val="0"/>
                <w:bCs w:val="0"/>
                <w:color w:val="000000" w:themeColor="text1"/>
                <w:sz w:val="24"/>
                <w:szCs w:val="24"/>
                <w:lang w:eastAsia="zh-CN"/>
                <w14:textFill>
                  <w14:solidFill>
                    <w14:schemeClr w14:val="tx1"/>
                  </w14:solidFill>
                </w14:textFill>
              </w:rPr>
              <w:t>；</w:t>
            </w:r>
            <w:r>
              <w:rPr>
                <w:rFonts w:hint="eastAsia" w:ascii="楷体" w:hAnsi="楷体" w:eastAsia="楷体" w:cs="楷体"/>
                <w:b w:val="0"/>
                <w:bCs w:val="0"/>
                <w:color w:val="000000" w:themeColor="text1"/>
                <w:sz w:val="24"/>
                <w:szCs w:val="24"/>
                <w:lang w:val="en-US" w:eastAsia="zh-CN"/>
                <w14:textFill>
                  <w14:solidFill>
                    <w14:schemeClr w14:val="tx1"/>
                  </w14:solidFill>
                </w14:textFill>
              </w:rPr>
              <w:t>5.</w:t>
            </w:r>
            <w: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t>悬挑架最底层应满铺脚手板并进行全封闭防护，立杆内侧设置180mm高踢脚板；6.悬挑架工字钢无出厂合证，或自加工无相关检测报告，</w:t>
            </w:r>
            <w:r>
              <w:rPr>
                <w:rFonts w:hint="eastAsia" w:ascii="楷体" w:hAnsi="楷体" w:eastAsia="楷体" w:cs="楷体"/>
                <w:color w:val="000000" w:themeColor="text1"/>
                <w:sz w:val="24"/>
                <w:szCs w:val="24"/>
                <w:lang w:val="en-US" w:eastAsia="zh-CN"/>
                <w14:textFill>
                  <w14:solidFill>
                    <w14:schemeClr w14:val="tx1"/>
                  </w14:solidFill>
                </w14:textFill>
              </w:rPr>
              <w:t>如</w:t>
            </w:r>
            <w:r>
              <w:rPr>
                <w:rFonts w:hint="eastAsia" w:ascii="楷体" w:hAnsi="楷体" w:eastAsia="楷体" w:cs="楷体"/>
                <w:color w:val="000000" w:themeColor="text1"/>
                <w:sz w:val="24"/>
                <w:szCs w:val="24"/>
                <w14:textFill>
                  <w14:solidFill>
                    <w14:schemeClr w14:val="tx1"/>
                  </w14:solidFill>
                </w14:textFill>
              </w:rPr>
              <w:t>工字钢、高强度螺栓无出厂合格证、质保书；未做焊缝探伤检测、焊材焊剂检测</w:t>
            </w:r>
            <w:r>
              <w:rPr>
                <w:rFonts w:hint="eastAsia" w:ascii="楷体" w:hAnsi="楷体" w:eastAsia="楷体" w:cs="楷体"/>
                <w:color w:val="000000" w:themeColor="text1"/>
                <w:sz w:val="24"/>
                <w:szCs w:val="24"/>
                <w:lang w:val="en-US" w:eastAsia="zh-CN"/>
                <w14:textFill>
                  <w14:solidFill>
                    <w14:schemeClr w14:val="tx1"/>
                  </w14:solidFill>
                </w14:textFill>
              </w:rPr>
              <w:t>等</w:t>
            </w:r>
          </w:p>
          <w:p>
            <w:pPr>
              <w:numPr>
                <w:ilvl w:val="0"/>
                <w:numId w:val="0"/>
              </w:numPr>
              <w:spacing w:line="240" w:lineRule="auto"/>
              <w:jc w:val="left"/>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pPr>
            <w: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t>合5处及以上</w:t>
            </w:r>
          </w:p>
        </w:tc>
        <w:tc>
          <w:tcPr>
            <w:tcW w:w="1425" w:type="dxa"/>
            <w:vAlign w:val="center"/>
          </w:tcPr>
          <w:p>
            <w:pPr>
              <w:spacing w:line="36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2000（每处400）</w:t>
            </w:r>
          </w:p>
        </w:tc>
        <w:tc>
          <w:tcPr>
            <w:tcW w:w="710" w:type="dxa"/>
            <w:vAlign w:val="center"/>
          </w:tcPr>
          <w:p>
            <w:pPr>
              <w:spacing w:line="36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5" w:hRule="atLeast"/>
        </w:trPr>
        <w:tc>
          <w:tcPr>
            <w:tcW w:w="553" w:type="dxa"/>
            <w:vAlign w:val="center"/>
          </w:tcPr>
          <w:p>
            <w:pPr>
              <w:spacing w:line="36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13</w:t>
            </w:r>
          </w:p>
        </w:tc>
        <w:tc>
          <w:tcPr>
            <w:tcW w:w="1309" w:type="dxa"/>
            <w:vAlign w:val="center"/>
          </w:tcPr>
          <w:p>
            <w:pPr>
              <w:spacing w:line="360" w:lineRule="auto"/>
              <w:jc w:val="center"/>
              <w:rPr>
                <w:rFonts w:hint="eastAsia" w:ascii="楷体" w:hAnsi="楷体" w:eastAsia="楷体" w:cs="楷体"/>
                <w:b/>
                <w:bCs/>
                <w:color w:val="000000" w:themeColor="text1"/>
                <w:sz w:val="24"/>
                <w:szCs w:val="24"/>
                <w:lang w:val="en-US" w:eastAsia="zh-CN"/>
                <w14:textFill>
                  <w14:solidFill>
                    <w14:schemeClr w14:val="tx1"/>
                  </w14:solidFill>
                </w14:textFill>
              </w:rPr>
            </w:pPr>
            <w:r>
              <w:rPr>
                <w:rFonts w:hint="eastAsia" w:ascii="楷体" w:hAnsi="楷体" w:eastAsia="楷体" w:cs="楷体"/>
                <w:b/>
                <w:bCs/>
                <w:color w:val="000000" w:themeColor="text1"/>
                <w:sz w:val="24"/>
                <w:szCs w:val="24"/>
                <w:lang w:val="en-US" w:eastAsia="zh-CN"/>
                <w14:textFill>
                  <w14:solidFill>
                    <w14:schemeClr w14:val="tx1"/>
                  </w14:solidFill>
                </w14:textFill>
              </w:rPr>
              <w:t>电梯井内脚手架或平台</w:t>
            </w:r>
          </w:p>
        </w:tc>
        <w:tc>
          <w:tcPr>
            <w:tcW w:w="5547" w:type="dxa"/>
            <w:vAlign w:val="center"/>
          </w:tcPr>
          <w:p>
            <w:pPr>
              <w:numPr>
                <w:ilvl w:val="0"/>
                <w:numId w:val="0"/>
              </w:numPr>
              <w:spacing w:line="240" w:lineRule="auto"/>
              <w:jc w:val="left"/>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pPr>
            <w: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t>1.电梯井内钢管架高度超过20米没有转换，垂直偏差超过15cm；</w:t>
            </w:r>
          </w:p>
          <w:p>
            <w:pPr>
              <w:numPr>
                <w:ilvl w:val="0"/>
                <w:numId w:val="0"/>
              </w:numPr>
              <w:spacing w:line="240" w:lineRule="auto"/>
              <w:jc w:val="left"/>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pPr>
            <w: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t>2.定制钢平台无出厂合格证或自加工无相关检测报告</w:t>
            </w:r>
          </w:p>
          <w:p>
            <w:pPr>
              <w:numPr>
                <w:ilvl w:val="0"/>
                <w:numId w:val="0"/>
              </w:numPr>
              <w:spacing w:line="240" w:lineRule="auto"/>
              <w:jc w:val="left"/>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pPr>
            <w: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t>合2处以上</w:t>
            </w:r>
          </w:p>
        </w:tc>
        <w:tc>
          <w:tcPr>
            <w:tcW w:w="1425" w:type="dxa"/>
            <w:vAlign w:val="center"/>
          </w:tcPr>
          <w:p>
            <w:pPr>
              <w:spacing w:line="360" w:lineRule="auto"/>
              <w:jc w:val="both"/>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2000（每处1000）</w:t>
            </w:r>
          </w:p>
        </w:tc>
        <w:tc>
          <w:tcPr>
            <w:tcW w:w="710" w:type="dxa"/>
            <w:vAlign w:val="center"/>
          </w:tcPr>
          <w:p>
            <w:pPr>
              <w:spacing w:line="36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exact"/>
        </w:trPr>
        <w:tc>
          <w:tcPr>
            <w:tcW w:w="553" w:type="dxa"/>
            <w:vAlign w:val="center"/>
          </w:tcPr>
          <w:p>
            <w:pPr>
              <w:spacing w:line="36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14</w:t>
            </w:r>
          </w:p>
        </w:tc>
        <w:tc>
          <w:tcPr>
            <w:tcW w:w="1309" w:type="dxa"/>
            <w:vAlign w:val="center"/>
          </w:tcPr>
          <w:p>
            <w:pPr>
              <w:spacing w:line="360" w:lineRule="auto"/>
              <w:jc w:val="center"/>
              <w:rPr>
                <w:rFonts w:hint="eastAsia" w:ascii="楷体" w:hAnsi="楷体" w:eastAsia="楷体" w:cs="楷体"/>
                <w:b/>
                <w:bCs/>
                <w:color w:val="000000" w:themeColor="text1"/>
                <w:sz w:val="24"/>
                <w:szCs w:val="24"/>
                <w:lang w:val="en-US" w:eastAsia="zh-CN"/>
                <w14:textFill>
                  <w14:solidFill>
                    <w14:schemeClr w14:val="tx1"/>
                  </w14:solidFill>
                </w14:textFill>
              </w:rPr>
            </w:pPr>
            <w:r>
              <w:rPr>
                <w:rFonts w:hint="eastAsia" w:ascii="楷体" w:hAnsi="楷体" w:eastAsia="楷体" w:cs="楷体"/>
                <w:b/>
                <w:bCs/>
                <w:color w:val="000000" w:themeColor="text1"/>
                <w:sz w:val="24"/>
                <w:szCs w:val="24"/>
                <w:lang w:val="en-US" w:eastAsia="zh-CN"/>
                <w14:textFill>
                  <w14:solidFill>
                    <w14:schemeClr w14:val="tx1"/>
                  </w14:solidFill>
                </w14:textFill>
              </w:rPr>
              <w:t>人货梯平台脚手架</w:t>
            </w:r>
          </w:p>
        </w:tc>
        <w:tc>
          <w:tcPr>
            <w:tcW w:w="5547" w:type="dxa"/>
            <w:vAlign w:val="center"/>
          </w:tcPr>
          <w:p>
            <w:pPr>
              <w:numPr>
                <w:ilvl w:val="0"/>
                <w:numId w:val="0"/>
              </w:numPr>
              <w:spacing w:line="240" w:lineRule="auto"/>
              <w:jc w:val="left"/>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pPr>
            <w: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t>1.平台架与结构拉结不符要求或缺失；</w:t>
            </w:r>
          </w:p>
          <w:p>
            <w:pPr>
              <w:numPr>
                <w:ilvl w:val="0"/>
                <w:numId w:val="0"/>
              </w:numPr>
              <w:spacing w:line="240" w:lineRule="auto"/>
              <w:jc w:val="left"/>
              <w:rPr>
                <w:rFonts w:hint="eastAsia" w:ascii="楷体" w:hAnsi="楷体" w:eastAsia="楷体" w:cs="楷体"/>
                <w:b w:val="0"/>
                <w:bCs w:val="0"/>
                <w:color w:val="000000" w:themeColor="text1"/>
                <w:sz w:val="24"/>
                <w:szCs w:val="24"/>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2.</w:t>
            </w:r>
            <w:r>
              <w:rPr>
                <w:rFonts w:hint="eastAsia" w:ascii="楷体" w:hAnsi="楷体" w:eastAsia="楷体" w:cs="楷体"/>
                <w:b w:val="0"/>
                <w:bCs w:val="0"/>
                <w:color w:val="000000" w:themeColor="text1"/>
                <w:sz w:val="24"/>
                <w:szCs w:val="24"/>
                <w14:textFill>
                  <w14:solidFill>
                    <w14:schemeClr w14:val="tx1"/>
                  </w14:solidFill>
                </w14:textFill>
              </w:rPr>
              <w:t>楼层层门未关闭</w:t>
            </w:r>
          </w:p>
          <w:p>
            <w:pPr>
              <w:numPr>
                <w:ilvl w:val="0"/>
                <w:numId w:val="0"/>
              </w:numPr>
              <w:spacing w:line="240" w:lineRule="auto"/>
              <w:jc w:val="left"/>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合4</w:t>
            </w:r>
            <w:r>
              <w:rPr>
                <w:rFonts w:hint="eastAsia" w:ascii="楷体" w:hAnsi="楷体" w:eastAsia="楷体" w:cs="楷体"/>
                <w:b w:val="0"/>
                <w:bCs w:val="0"/>
                <w:color w:val="000000" w:themeColor="text1"/>
                <w:sz w:val="24"/>
                <w:szCs w:val="24"/>
                <w14:textFill>
                  <w14:solidFill>
                    <w14:schemeClr w14:val="tx1"/>
                  </w14:solidFill>
                </w14:textFill>
              </w:rPr>
              <w:t>处及以上</w:t>
            </w:r>
          </w:p>
        </w:tc>
        <w:tc>
          <w:tcPr>
            <w:tcW w:w="1425" w:type="dxa"/>
            <w:vAlign w:val="center"/>
          </w:tcPr>
          <w:p>
            <w:pPr>
              <w:spacing w:line="360" w:lineRule="auto"/>
              <w:jc w:val="both"/>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2000（每处500）</w:t>
            </w:r>
          </w:p>
        </w:tc>
        <w:tc>
          <w:tcPr>
            <w:tcW w:w="710" w:type="dxa"/>
            <w:vAlign w:val="center"/>
          </w:tcPr>
          <w:p>
            <w:pPr>
              <w:spacing w:line="36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53" w:type="dxa"/>
            <w:vAlign w:val="center"/>
          </w:tcPr>
          <w:p>
            <w:pPr>
              <w:spacing w:line="36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15</w:t>
            </w:r>
          </w:p>
        </w:tc>
        <w:tc>
          <w:tcPr>
            <w:tcW w:w="1309" w:type="dxa"/>
            <w:vMerge w:val="restart"/>
            <w:vAlign w:val="center"/>
          </w:tcPr>
          <w:p>
            <w:pPr>
              <w:spacing w:line="36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t>爬架</w:t>
            </w:r>
          </w:p>
        </w:tc>
        <w:tc>
          <w:tcPr>
            <w:tcW w:w="5547" w:type="dxa"/>
            <w:vAlign w:val="center"/>
          </w:tcPr>
          <w:p>
            <w:pPr>
              <w:keepNext w:val="0"/>
              <w:keepLines w:val="0"/>
              <w:widowControl/>
              <w:numPr>
                <w:ilvl w:val="0"/>
                <w:numId w:val="0"/>
              </w:numPr>
              <w:suppressLineNumbers w:val="0"/>
              <w:spacing w:line="240" w:lineRule="auto"/>
              <w:jc w:val="left"/>
              <w:textAlignment w:val="center"/>
              <w:rPr>
                <w:rFonts w:hint="eastAsia"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t>防坠落装置、防倾覆装置不符合规范要求，或</w:t>
            </w:r>
            <w:r>
              <w:rPr>
                <w:rFonts w:hint="eastAsia" w:ascii="楷体" w:hAnsi="楷体" w:eastAsia="楷体" w:cs="楷体"/>
                <w:b w:val="0"/>
                <w:bCs w:val="0"/>
                <w:color w:val="000000" w:themeColor="text1"/>
                <w:sz w:val="24"/>
                <w:szCs w:val="24"/>
                <w14:textFill>
                  <w14:solidFill>
                    <w14:schemeClr w14:val="tx1"/>
                  </w14:solidFill>
                </w14:textFill>
              </w:rPr>
              <w:t>失效或缺失</w:t>
            </w:r>
          </w:p>
        </w:tc>
        <w:tc>
          <w:tcPr>
            <w:tcW w:w="1425" w:type="dxa"/>
            <w:vAlign w:val="center"/>
          </w:tcPr>
          <w:p>
            <w:pPr>
              <w:spacing w:line="36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w:t>
            </w:r>
          </w:p>
        </w:tc>
        <w:tc>
          <w:tcPr>
            <w:tcW w:w="710" w:type="dxa"/>
            <w:vAlign w:val="center"/>
          </w:tcPr>
          <w:p>
            <w:pPr>
              <w:spacing w:line="36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553" w:type="dxa"/>
            <w:vAlign w:val="center"/>
          </w:tcPr>
          <w:p>
            <w:pPr>
              <w:spacing w:line="36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16</w:t>
            </w:r>
          </w:p>
        </w:tc>
        <w:tc>
          <w:tcPr>
            <w:tcW w:w="1309" w:type="dxa"/>
            <w:vMerge w:val="continue"/>
            <w:vAlign w:val="center"/>
          </w:tcPr>
          <w:p>
            <w:pPr>
              <w:spacing w:line="360" w:lineRule="auto"/>
              <w:rPr>
                <w:rFonts w:hint="eastAsia" w:ascii="楷体" w:hAnsi="楷体" w:eastAsia="楷体" w:cs="楷体"/>
                <w:b w:val="0"/>
                <w:bCs w:val="0"/>
                <w:color w:val="000000" w:themeColor="text1"/>
                <w:sz w:val="24"/>
                <w:szCs w:val="24"/>
                <w:lang w:val="en-US" w:eastAsia="zh-CN"/>
                <w14:textFill>
                  <w14:solidFill>
                    <w14:schemeClr w14:val="tx1"/>
                  </w14:solidFill>
                </w14:textFill>
              </w:rPr>
            </w:pPr>
          </w:p>
        </w:tc>
        <w:tc>
          <w:tcPr>
            <w:tcW w:w="5547" w:type="dxa"/>
            <w:vAlign w:val="center"/>
          </w:tcPr>
          <w:p>
            <w:pPr>
              <w:keepNext w:val="0"/>
              <w:keepLines w:val="0"/>
              <w:widowControl/>
              <w:numPr>
                <w:ilvl w:val="0"/>
                <w:numId w:val="0"/>
              </w:numPr>
              <w:suppressLineNumbers w:val="0"/>
              <w:spacing w:line="240" w:lineRule="auto"/>
              <w:jc w:val="left"/>
              <w:textAlignment w:val="cente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pPr>
            <w:r>
              <w:rPr>
                <w:rFonts w:hint="eastAsia" w:ascii="楷体" w:hAnsi="楷体" w:eastAsia="楷体" w:cs="楷体"/>
                <w:b w:val="0"/>
                <w:bCs w:val="0"/>
                <w:color w:val="000000" w:themeColor="text1"/>
                <w:sz w:val="24"/>
                <w:szCs w:val="24"/>
                <w14:textFill>
                  <w14:solidFill>
                    <w14:schemeClr w14:val="tx1"/>
                  </w14:solidFill>
                </w14:textFill>
              </w:rPr>
              <w:t>爬升脚手架下部没有防坠挑网（至少在二层设一道）</w:t>
            </w:r>
          </w:p>
        </w:tc>
        <w:tc>
          <w:tcPr>
            <w:tcW w:w="1425" w:type="dxa"/>
            <w:vAlign w:val="center"/>
          </w:tcPr>
          <w:p>
            <w:pPr>
              <w:spacing w:line="36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w:t>
            </w:r>
          </w:p>
        </w:tc>
        <w:tc>
          <w:tcPr>
            <w:tcW w:w="710" w:type="dxa"/>
            <w:vAlign w:val="center"/>
          </w:tcPr>
          <w:p>
            <w:pPr>
              <w:spacing w:line="36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vAlign w:val="center"/>
          </w:tcPr>
          <w:p>
            <w:pPr>
              <w:spacing w:line="36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17</w:t>
            </w:r>
          </w:p>
        </w:tc>
        <w:tc>
          <w:tcPr>
            <w:tcW w:w="1309" w:type="dxa"/>
            <w:vMerge w:val="continue"/>
            <w:vAlign w:val="center"/>
          </w:tcPr>
          <w:p>
            <w:pPr>
              <w:spacing w:line="360" w:lineRule="auto"/>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p>
        </w:tc>
        <w:tc>
          <w:tcPr>
            <w:tcW w:w="5547" w:type="dxa"/>
            <w:vAlign w:val="center"/>
          </w:tcPr>
          <w:p>
            <w:pPr>
              <w:keepNext w:val="0"/>
              <w:keepLines w:val="0"/>
              <w:widowControl/>
              <w:numPr>
                <w:ilvl w:val="0"/>
                <w:numId w:val="0"/>
              </w:numPr>
              <w:suppressLineNumbers w:val="0"/>
              <w:spacing w:line="240" w:lineRule="auto"/>
              <w:jc w:val="left"/>
              <w:textAlignment w:val="center"/>
              <w:rPr>
                <w:rFonts w:hint="eastAsia" w:ascii="楷体" w:hAnsi="楷体" w:eastAsia="楷体" w:cs="楷体"/>
                <w:b w:val="0"/>
                <w:bCs w:val="0"/>
                <w:color w:val="000000" w:themeColor="text1"/>
                <w:sz w:val="24"/>
                <w:szCs w:val="24"/>
                <w14:textFill>
                  <w14:solidFill>
                    <w14:schemeClr w14:val="tx1"/>
                  </w14:solidFill>
                </w14:textFill>
              </w:rPr>
            </w:pPr>
            <w: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t>1.架体高度大于5 倍楼层高度，宽度大于1.2m，</w:t>
            </w:r>
            <w: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br w:type="textWrapping"/>
            </w:r>
            <w: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t>2.附着支座数量、间距应符合方案及规范要求，附墙支座应采用螺栓与建筑物连接，受拉螺栓的螺母不得少于两个或应采用弹簧垫圈加单螺母，螺杆露出螺母端部的长度不应小于3扣，并不得小于10mm，垫板尺寸应由设计确定且不得小于100*100*10mm；</w:t>
            </w:r>
            <w:r>
              <w:rPr>
                <w:rFonts w:hint="eastAsia" w:ascii="楷体" w:hAnsi="楷体" w:eastAsia="楷体" w:cs="楷体"/>
                <w:b w:val="0"/>
                <w:bCs w:val="0"/>
                <w:color w:val="000000" w:themeColor="text1"/>
                <w:sz w:val="24"/>
                <w:szCs w:val="24"/>
                <w14:textFill>
                  <w14:solidFill>
                    <w14:schemeClr w14:val="tx1"/>
                  </w14:solidFill>
                </w14:textFill>
              </w:rPr>
              <w:t>爬升脚手架穿墙螺栓缺少或变形或磨损严重。</w:t>
            </w:r>
            <w: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br w:type="textWrapping"/>
            </w:r>
            <w: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t>3.主框架和水平支承桁架的节点应采用焊接或螺栓连接，各杆件的轴线应汇交于节点，内外两片水平支承桁架的上弦和下弦之间应设置水平支撑杆件，各节点应采用焊接或螺栓连接，两跨以上架体同时升降应采用电动或液压动力装置，不得采用手动装置；</w:t>
            </w:r>
            <w: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br w:type="textWrapping"/>
            </w:r>
            <w: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t>4.架体最底层未全封闭防护；架体搭设滞后；</w:t>
            </w:r>
            <w: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br w:type="textWrapping"/>
            </w:r>
            <w: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t>5.附着式升降脚手架应在首次安装完毕及使用前、提升、下降作业前按照不同的表格进行验收，合格后方可作业。附着升降脚手架维修保养记录应真实、全面；</w:t>
            </w:r>
          </w:p>
          <w:p>
            <w:pPr>
              <w:keepNext w:val="0"/>
              <w:keepLines w:val="0"/>
              <w:widowControl/>
              <w:numPr>
                <w:ilvl w:val="0"/>
                <w:numId w:val="0"/>
              </w:numPr>
              <w:suppressLineNumbers w:val="0"/>
              <w:spacing w:line="240" w:lineRule="auto"/>
              <w:jc w:val="left"/>
              <w:textAlignment w:val="center"/>
              <w:rPr>
                <w:rFonts w:hint="eastAsia" w:ascii="楷体" w:hAnsi="楷体" w:eastAsia="楷体" w:cs="楷体"/>
                <w:b w:val="0"/>
                <w:bCs w:val="0"/>
                <w:color w:val="000000" w:themeColor="text1"/>
                <w:sz w:val="24"/>
                <w:szCs w:val="24"/>
                <w:lang w:eastAsia="zh-CN"/>
                <w14:textFill>
                  <w14:solidFill>
                    <w14:schemeClr w14:val="tx1"/>
                  </w14:solidFill>
                </w14:textFill>
              </w:rPr>
            </w:pPr>
            <w:r>
              <w:rPr>
                <w:sz w:val="24"/>
              </w:rPr>
              <mc:AlternateContent>
                <mc:Choice Requires="wps">
                  <w:drawing>
                    <wp:anchor distT="0" distB="0" distL="114300" distR="114300" simplePos="0" relativeHeight="251660288" behindDoc="0" locked="0" layoutInCell="1" allowOverlap="1">
                      <wp:simplePos x="0" y="0"/>
                      <wp:positionH relativeFrom="column">
                        <wp:posOffset>-860425</wp:posOffset>
                      </wp:positionH>
                      <wp:positionV relativeFrom="paragraph">
                        <wp:posOffset>170180</wp:posOffset>
                      </wp:positionV>
                      <wp:extent cx="718820" cy="337185"/>
                      <wp:effectExtent l="0" t="0" r="5080" b="5715"/>
                      <wp:wrapNone/>
                      <wp:docPr id="4" name="文本框 4"/>
                      <wp:cNvGraphicFramePr/>
                      <a:graphic xmlns:a="http://schemas.openxmlformats.org/drawingml/2006/main">
                        <a:graphicData uri="http://schemas.microsoft.com/office/word/2010/wordprocessingShape">
                          <wps:wsp>
                            <wps:cNvSpPr txBox="1"/>
                            <wps:spPr>
                              <a:xfrm>
                                <a:off x="1117600" y="1883410"/>
                                <a:ext cx="718820" cy="3371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楷体" w:hAnsi="楷体" w:eastAsia="楷体" w:cs="楷体"/>
                                      <w:b/>
                                      <w:bCs/>
                                      <w:sz w:val="24"/>
                                      <w:szCs w:val="32"/>
                                      <w:lang w:val="en-US" w:eastAsia="zh-CN"/>
                                    </w:rPr>
                                  </w:pPr>
                                  <w:r>
                                    <w:rPr>
                                      <w:rFonts w:hint="eastAsia" w:ascii="楷体" w:hAnsi="楷体" w:eastAsia="楷体" w:cs="楷体"/>
                                      <w:b/>
                                      <w:bCs/>
                                      <w:sz w:val="24"/>
                                      <w:szCs w:val="32"/>
                                      <w:lang w:val="en-US" w:eastAsia="zh-CN"/>
                                    </w:rPr>
                                    <w:t>爬架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7.75pt;margin-top:13.4pt;height:26.55pt;width:56.6pt;z-index:251660288;mso-width-relative:page;mso-height-relative:page;" fillcolor="#FFFFFF [3201]" filled="t" stroked="f" coordsize="21600,21600" o:gfxdata="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y+GOA1gAAAAoB&#10;AAAPAAAAAAAAAAEAIAAAACIAAABkcnMvZG93bnJldi54bWxQSwECFAAUAAAACACHTuJA0MW+MlYC&#10;AACaBAAADgAAAAAAAAABACAAAAAlAQAAZHJzL2Uyb0RvYy54bWxQSwUGAAAAAAYABgBZAQAA7QUA&#10;AAAA&#10;">
                      <v:fill on="t" focussize="0,0"/>
                      <v:stroke on="f" weight="0.5pt"/>
                      <v:imagedata o:title=""/>
                      <o:lock v:ext="edit" aspectratio="f"/>
                      <v:textbox>
                        <w:txbxContent>
                          <w:p>
                            <w:pPr>
                              <w:jc w:val="center"/>
                              <w:rPr>
                                <w:rFonts w:hint="eastAsia" w:ascii="楷体" w:hAnsi="楷体" w:eastAsia="楷体" w:cs="楷体"/>
                                <w:b/>
                                <w:bCs/>
                                <w:sz w:val="24"/>
                                <w:szCs w:val="32"/>
                                <w:lang w:val="en-US" w:eastAsia="zh-CN"/>
                              </w:rPr>
                            </w:pPr>
                            <w:r>
                              <w:rPr>
                                <w:rFonts w:hint="eastAsia" w:ascii="楷体" w:hAnsi="楷体" w:eastAsia="楷体" w:cs="楷体"/>
                                <w:b/>
                                <w:bCs/>
                                <w:sz w:val="24"/>
                                <w:szCs w:val="32"/>
                                <w:lang w:val="en-US" w:eastAsia="zh-CN"/>
                              </w:rPr>
                              <w:t>爬架</w:t>
                            </w:r>
                          </w:p>
                        </w:txbxContent>
                      </v:textbox>
                    </v:shape>
                  </w:pict>
                </mc:Fallback>
              </mc:AlternateContent>
            </w:r>
            <w:r>
              <w:rPr>
                <w:sz w:val="24"/>
              </w:rPr>
              <mc:AlternateContent>
                <mc:Choice Requires="wps">
                  <w:drawing>
                    <wp:anchor distT="0" distB="0" distL="114300" distR="114300" simplePos="0" relativeHeight="251659264" behindDoc="0" locked="0" layoutInCell="1" allowOverlap="1">
                      <wp:simplePos x="0" y="0"/>
                      <wp:positionH relativeFrom="column">
                        <wp:posOffset>4413250</wp:posOffset>
                      </wp:positionH>
                      <wp:positionV relativeFrom="paragraph">
                        <wp:posOffset>201930</wp:posOffset>
                      </wp:positionV>
                      <wp:extent cx="372110" cy="294640"/>
                      <wp:effectExtent l="0" t="0" r="8890" b="10160"/>
                      <wp:wrapNone/>
                      <wp:docPr id="3" name="文本框 3"/>
                      <wp:cNvGraphicFramePr/>
                      <a:graphic xmlns:a="http://schemas.openxmlformats.org/drawingml/2006/main">
                        <a:graphicData uri="http://schemas.microsoft.com/office/word/2010/wordprocessingShape">
                          <wps:wsp>
                            <wps:cNvSpPr txBox="1"/>
                            <wps:spPr>
                              <a:xfrm>
                                <a:off x="6391275" y="1915160"/>
                                <a:ext cx="372110" cy="2946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楷体" w:hAnsi="楷体" w:eastAsia="楷体" w:cs="楷体"/>
                                      <w:sz w:val="24"/>
                                      <w:szCs w:val="32"/>
                                      <w:lang w:val="en-US" w:eastAsia="zh-CN"/>
                                    </w:rPr>
                                  </w:pPr>
                                  <w:r>
                                    <w:rPr>
                                      <w:rFonts w:hint="eastAsia" w:ascii="楷体" w:hAnsi="楷体" w:eastAsia="楷体" w:cs="楷体"/>
                                      <w:sz w:val="24"/>
                                      <w:szCs w:val="32"/>
                                      <w:lang w:val="en-US" w:eastAsia="zh-CN"/>
                                    </w:rPr>
                                    <w:t>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7.5pt;margin-top:15.9pt;height:23.2pt;width:29.3pt;z-index:251659264;mso-width-relative:page;mso-height-relative:page;" fillcolor="#FFFFFF [3201]" filled="t" stroked="f" coordsize="21600,21600" o:gfxdata="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OZBesTW&#10;AAAACQEAAA8AAAAAAAAAAQAgAAAAIgAAAGRycy9kb3ducmV2LnhtbFBLAQIUABQAAAAIAIdO4kDk&#10;cOW7WwIAAJoEAAAOAAAAAAAAAAEAIAAAACUBAABkcnMvZTJvRG9jLnhtbFBLBQYAAAAABgAGAFkB&#10;AADyBQAAAAA=&#10;">
                      <v:fill on="t" focussize="0,0"/>
                      <v:stroke on="f" weight="0.5pt"/>
                      <v:imagedata o:title=""/>
                      <o:lock v:ext="edit" aspectratio="f"/>
                      <v:textbox>
                        <w:txbxContent>
                          <w:p>
                            <w:pPr>
                              <w:rPr>
                                <w:rFonts w:hint="eastAsia" w:ascii="楷体" w:hAnsi="楷体" w:eastAsia="楷体" w:cs="楷体"/>
                                <w:sz w:val="24"/>
                                <w:szCs w:val="32"/>
                                <w:lang w:val="en-US" w:eastAsia="zh-CN"/>
                              </w:rPr>
                            </w:pPr>
                            <w:r>
                              <w:rPr>
                                <w:rFonts w:hint="eastAsia" w:ascii="楷体" w:hAnsi="楷体" w:eastAsia="楷体" w:cs="楷体"/>
                                <w:sz w:val="24"/>
                                <w:szCs w:val="32"/>
                                <w:lang w:val="en-US" w:eastAsia="zh-CN"/>
                              </w:rPr>
                              <w:t>黄</w:t>
                            </w:r>
                          </w:p>
                        </w:txbxContent>
                      </v:textbox>
                    </v:shape>
                  </w:pict>
                </mc:Fallback>
              </mc:AlternateContent>
            </w:r>
            <w:r>
              <w:rPr>
                <w:sz w:val="24"/>
              </w:rPr>
              <mc:AlternateContent>
                <mc:Choice Requires="wps">
                  <w:drawing>
                    <wp:anchor distT="0" distB="0" distL="114300" distR="114300" simplePos="0" relativeHeight="251658240" behindDoc="0" locked="0" layoutInCell="1" allowOverlap="1">
                      <wp:simplePos x="0" y="0"/>
                      <wp:positionH relativeFrom="column">
                        <wp:posOffset>3524885</wp:posOffset>
                      </wp:positionH>
                      <wp:positionV relativeFrom="paragraph">
                        <wp:posOffset>207645</wp:posOffset>
                      </wp:positionV>
                      <wp:extent cx="744855" cy="311785"/>
                      <wp:effectExtent l="0" t="0" r="17145" b="12065"/>
                      <wp:wrapNone/>
                      <wp:docPr id="2" name="文本框 2"/>
                      <wp:cNvGraphicFramePr/>
                      <a:graphic xmlns:a="http://schemas.openxmlformats.org/drawingml/2006/main">
                        <a:graphicData uri="http://schemas.microsoft.com/office/word/2010/wordprocessingShape">
                          <wps:wsp>
                            <wps:cNvSpPr txBox="1"/>
                            <wps:spPr>
                              <a:xfrm>
                                <a:off x="5502910" y="1920875"/>
                                <a:ext cx="744855" cy="3117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楷体" w:hAnsi="楷体" w:eastAsia="楷体" w:cs="楷体"/>
                                      <w:sz w:val="24"/>
                                      <w:szCs w:val="32"/>
                                      <w:lang w:val="en-US" w:eastAsia="zh-CN"/>
                                    </w:rPr>
                                  </w:pPr>
                                  <w:r>
                                    <w:rPr>
                                      <w:rFonts w:hint="eastAsia" w:ascii="楷体" w:hAnsi="楷体" w:eastAsia="楷体" w:cs="楷体"/>
                                      <w:sz w:val="24"/>
                                      <w:szCs w:val="32"/>
                                      <w:lang w:val="en-US" w:eastAsia="zh-CN"/>
                                    </w:rPr>
                                    <w:t>2000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7.55pt;margin-top:16.35pt;height:24.55pt;width:58.65pt;z-index:251658240;mso-width-relative:page;mso-height-relative:page;" fillcolor="#FFFFFF [3201]" filled="t" stroked="f" coordsize="21600,21600" o:gfxdata="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apIv&#10;oNYAAAAJAQAADwAAAAAAAAABACAAAAAiAAAAZHJzL2Rvd25yZXYueG1sUEsBAhQAFAAAAAgAh07i&#10;QDMkdY5dAgAAmgQAAA4AAAAAAAAAAQAgAAAAJQEAAGRycy9lMm9Eb2MueG1sUEsFBgAAAAAGAAYA&#10;WQEAAPQFAAAAAA==&#10;">
                      <v:fill on="t" focussize="0,0"/>
                      <v:stroke on="f" weight="0.5pt"/>
                      <v:imagedata o:title=""/>
                      <o:lock v:ext="edit" aspectratio="f"/>
                      <v:textbox>
                        <w:txbxContent>
                          <w:p>
                            <w:pPr>
                              <w:jc w:val="center"/>
                              <w:rPr>
                                <w:rFonts w:hint="eastAsia" w:ascii="楷体" w:hAnsi="楷体" w:eastAsia="楷体" w:cs="楷体"/>
                                <w:sz w:val="24"/>
                                <w:szCs w:val="32"/>
                                <w:lang w:val="en-US" w:eastAsia="zh-CN"/>
                              </w:rPr>
                            </w:pPr>
                            <w:r>
                              <w:rPr>
                                <w:rFonts w:hint="eastAsia" w:ascii="楷体" w:hAnsi="楷体" w:eastAsia="楷体" w:cs="楷体"/>
                                <w:sz w:val="24"/>
                                <w:szCs w:val="32"/>
                                <w:lang w:val="en-US" w:eastAsia="zh-CN"/>
                              </w:rPr>
                              <w:t>2000</w:t>
                            </w:r>
                          </w:p>
                        </w:txbxContent>
                      </v:textbox>
                    </v:shape>
                  </w:pict>
                </mc:Fallback>
              </mc:AlternateContent>
            </w:r>
            <w:r>
              <w:rPr>
                <w:rFonts w:hint="eastAsia" w:ascii="楷体" w:hAnsi="楷体" w:eastAsia="楷体" w:cs="楷体"/>
                <w:b w:val="0"/>
                <w:bCs w:val="0"/>
                <w:color w:val="000000" w:themeColor="text1"/>
                <w:sz w:val="24"/>
                <w:szCs w:val="24"/>
                <w:lang w:val="en-US" w:eastAsia="zh-CN"/>
                <w14:textFill>
                  <w14:solidFill>
                    <w14:schemeClr w14:val="tx1"/>
                  </w14:solidFill>
                </w14:textFill>
              </w:rPr>
              <w:t>6.</w:t>
            </w:r>
            <w:r>
              <w:rPr>
                <w:rFonts w:hint="eastAsia" w:ascii="楷体" w:hAnsi="楷体" w:eastAsia="楷体" w:cs="楷体"/>
                <w:b w:val="0"/>
                <w:bCs w:val="0"/>
                <w:color w:val="000000" w:themeColor="text1"/>
                <w:sz w:val="24"/>
                <w:szCs w:val="24"/>
                <w14:textFill>
                  <w14:solidFill>
                    <w14:schemeClr w14:val="tx1"/>
                  </w14:solidFill>
                </w14:textFill>
              </w:rPr>
              <w:t>爬升前后没有进行检查，爬升过程有人在架体上作业或爬升过程架体下部有人作业或爬升过程地面没有设警戒线警示牌</w:t>
            </w:r>
            <w:r>
              <w:rPr>
                <w:rFonts w:hint="eastAsia" w:ascii="楷体" w:hAnsi="楷体" w:eastAsia="楷体" w:cs="楷体"/>
                <w:b w:val="0"/>
                <w:bCs w:val="0"/>
                <w:color w:val="000000" w:themeColor="text1"/>
                <w:sz w:val="24"/>
                <w:szCs w:val="24"/>
                <w:lang w:eastAsia="zh-CN"/>
                <w14:textFill>
                  <w14:solidFill>
                    <w14:schemeClr w14:val="tx1"/>
                  </w14:solidFill>
                </w14:textFill>
              </w:rPr>
              <w:t>；</w:t>
            </w:r>
          </w:p>
          <w:p>
            <w:pPr>
              <w:pStyle w:val="8"/>
              <w:spacing w:line="240" w:lineRule="auto"/>
              <w:ind w:left="0" w:leftChars="0" w:firstLine="0" w:firstLineChars="0"/>
              <w:jc w:val="left"/>
              <w:rPr>
                <w:rFonts w:hint="eastAsia"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7.无生产厂家出厂检验合格证明文件、型式检验报告；</w:t>
            </w:r>
          </w:p>
          <w:p>
            <w:pPr>
              <w:pStyle w:val="8"/>
              <w:spacing w:line="240" w:lineRule="auto"/>
              <w:ind w:left="0" w:leftChars="0" w:firstLine="0" w:firstLineChars="0"/>
              <w:jc w:val="left"/>
              <w:rPr>
                <w:rFonts w:hint="eastAsia" w:ascii="楷体" w:hAnsi="楷体" w:eastAsia="楷体" w:cs="楷体"/>
                <w:b w:val="0"/>
                <w:bCs w:val="0"/>
                <w:color w:val="000000" w:themeColor="text1"/>
                <w:sz w:val="24"/>
                <w:szCs w:val="24"/>
                <w:lang w:eastAsia="zh-CN"/>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8.</w:t>
            </w:r>
            <w:r>
              <w:rPr>
                <w:rFonts w:hint="eastAsia" w:ascii="楷体" w:hAnsi="楷体" w:eastAsia="楷体" w:cs="楷体"/>
                <w:b w:val="0"/>
                <w:bCs w:val="0"/>
                <w:color w:val="000000" w:themeColor="text1"/>
                <w:sz w:val="24"/>
                <w:szCs w:val="24"/>
                <w14:textFill>
                  <w14:solidFill>
                    <w14:schemeClr w14:val="tx1"/>
                  </w14:solidFill>
                </w14:textFill>
              </w:rPr>
              <w:t>在外架拆除高处有坠物风险的区域没有使用安全警示带进行分隔警示、专人旁站</w:t>
            </w:r>
            <w:r>
              <w:rPr>
                <w:rFonts w:hint="eastAsia" w:ascii="楷体" w:hAnsi="楷体" w:eastAsia="楷体" w:cs="楷体"/>
                <w:b w:val="0"/>
                <w:bCs w:val="0"/>
                <w:color w:val="000000" w:themeColor="text1"/>
                <w:sz w:val="24"/>
                <w:szCs w:val="24"/>
                <w:lang w:eastAsia="zh-CN"/>
                <w14:textFill>
                  <w14:solidFill>
                    <w14:schemeClr w14:val="tx1"/>
                  </w14:solidFill>
                </w14:textFill>
              </w:rPr>
              <w:t>；</w:t>
            </w:r>
          </w:p>
          <w:p>
            <w:pPr>
              <w:pStyle w:val="8"/>
              <w:spacing w:line="240" w:lineRule="auto"/>
              <w:ind w:left="0" w:leftChars="0" w:firstLine="0" w:firstLineChars="0"/>
              <w:jc w:val="left"/>
              <w:rPr>
                <w:rFonts w:hint="eastAsia"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合5处及以上</w:t>
            </w:r>
          </w:p>
        </w:tc>
        <w:tc>
          <w:tcPr>
            <w:tcW w:w="1425" w:type="dxa"/>
            <w:vAlign w:val="center"/>
          </w:tcPr>
          <w:p>
            <w:pPr>
              <w:spacing w:line="36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w:t>
            </w:r>
          </w:p>
        </w:tc>
        <w:tc>
          <w:tcPr>
            <w:tcW w:w="710" w:type="dxa"/>
            <w:vAlign w:val="center"/>
          </w:tcPr>
          <w:p>
            <w:pPr>
              <w:spacing w:line="36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7" w:hRule="atLeast"/>
        </w:trPr>
        <w:tc>
          <w:tcPr>
            <w:tcW w:w="553" w:type="dxa"/>
            <w:vAlign w:val="center"/>
          </w:tcPr>
          <w:p>
            <w:pPr>
              <w:spacing w:line="240" w:lineRule="auto"/>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18</w:t>
            </w:r>
          </w:p>
        </w:tc>
        <w:tc>
          <w:tcPr>
            <w:tcW w:w="1309" w:type="dxa"/>
            <w:vAlign w:val="center"/>
          </w:tcPr>
          <w:p>
            <w:pPr>
              <w:spacing w:line="24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t>卸料平台</w:t>
            </w:r>
          </w:p>
        </w:tc>
        <w:tc>
          <w:tcPr>
            <w:tcW w:w="5547" w:type="dxa"/>
            <w:vAlign w:val="center"/>
          </w:tcPr>
          <w:p>
            <w:pPr>
              <w:spacing w:line="240" w:lineRule="auto"/>
              <w:jc w:val="left"/>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1.</w:t>
            </w:r>
            <w:r>
              <w:rPr>
                <w:rFonts w:hint="eastAsia" w:ascii="楷体" w:hAnsi="楷体" w:eastAsia="楷体" w:cs="楷体"/>
                <w:b w:val="0"/>
                <w:bCs w:val="0"/>
                <w:color w:val="000000" w:themeColor="text1"/>
                <w:sz w:val="24"/>
                <w:szCs w:val="24"/>
                <w:vertAlign w:val="baseline"/>
                <w14:textFill>
                  <w14:solidFill>
                    <w14:schemeClr w14:val="tx1"/>
                  </w14:solidFill>
                </w14:textFill>
              </w:rPr>
              <w:t>卸料平台严禁与外架相连</w:t>
            </w: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w:t>
            </w:r>
            <w:r>
              <w:rPr>
                <w:rFonts w:hint="eastAsia" w:ascii="楷体" w:hAnsi="楷体" w:eastAsia="楷体" w:cs="楷体"/>
                <w:b w:val="0"/>
                <w:bCs w:val="0"/>
                <w:color w:val="000000" w:themeColor="text1"/>
                <w:sz w:val="24"/>
                <w:szCs w:val="24"/>
                <w:vertAlign w:val="baseline"/>
                <w14:textFill>
                  <w14:solidFill>
                    <w14:schemeClr w14:val="tx1"/>
                  </w14:solidFill>
                </w14:textFill>
              </w:rPr>
              <w:t>悬挑梁严禁搁置在外架上；</w:t>
            </w:r>
          </w:p>
          <w:p>
            <w:pPr>
              <w:spacing w:line="240" w:lineRule="auto"/>
              <w:jc w:val="left"/>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3.卸料平台加工出厂无合格证或自加工无相关检测报告</w:t>
            </w:r>
          </w:p>
          <w:p>
            <w:pPr>
              <w:spacing w:line="240" w:lineRule="auto"/>
              <w:jc w:val="left"/>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 xml:space="preserve"> 合2处及以上</w:t>
            </w:r>
          </w:p>
        </w:tc>
        <w:tc>
          <w:tcPr>
            <w:tcW w:w="1425"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w:t>
            </w:r>
          </w:p>
        </w:tc>
        <w:tc>
          <w:tcPr>
            <w:tcW w:w="710"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vAlign w:val="center"/>
          </w:tcPr>
          <w:p>
            <w:pPr>
              <w:spacing w:line="24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19</w:t>
            </w:r>
          </w:p>
        </w:tc>
        <w:tc>
          <w:tcPr>
            <w:tcW w:w="1309" w:type="dxa"/>
            <w:vMerge w:val="restart"/>
            <w:vAlign w:val="center"/>
          </w:tcPr>
          <w:p>
            <w:pPr>
              <w:spacing w:line="24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t>高处作业</w:t>
            </w:r>
          </w:p>
        </w:tc>
        <w:tc>
          <w:tcPr>
            <w:tcW w:w="5547" w:type="dxa"/>
            <w:vAlign w:val="center"/>
          </w:tcPr>
          <w:p>
            <w:pPr>
              <w:keepNext w:val="0"/>
              <w:keepLines w:val="0"/>
              <w:widowControl/>
              <w:suppressLineNumbers w:val="0"/>
              <w:spacing w:line="240" w:lineRule="auto"/>
              <w:jc w:val="left"/>
              <w:textAlignment w:val="cente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pPr>
            <w: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t>安全警戒区域隔离:在外架拆除、大型机械安拆、窗户安装、外墙施工等高处有坠物风险的区域应设置安全警戒区，并进行安全围护。安全警戒区围护分为两种：长期围护和临时围护；</w:t>
            </w:r>
            <w: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br w:type="textWrapping"/>
            </w:r>
            <w: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t>1.长期围护：凡作业时间超过6h以上，须设置长期围护，围护方式采用钢管架+安全网或者隔板，围护高度不低于1.8米，以防人员随意进入警戒区；</w:t>
            </w:r>
            <w: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br w:type="textWrapping"/>
            </w:r>
            <w: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t>2.临时围护：作业时间在6h之内的可采用安全警示带进行围护；</w:t>
            </w:r>
          </w:p>
          <w:p>
            <w:pPr>
              <w:keepNext w:val="0"/>
              <w:keepLines w:val="0"/>
              <w:widowControl/>
              <w:suppressLineNumbers w:val="0"/>
              <w:spacing w:line="240" w:lineRule="auto"/>
              <w:jc w:val="left"/>
              <w:textAlignment w:val="center"/>
              <w:rPr>
                <w:rFonts w:hint="eastAsia" w:ascii="楷体" w:hAnsi="楷体" w:eastAsia="楷体" w:cs="楷体"/>
                <w:b w:val="0"/>
                <w:bCs w:val="0"/>
                <w:color w:val="000000" w:themeColor="text1"/>
                <w:sz w:val="24"/>
                <w:szCs w:val="24"/>
                <w:vertAlign w:val="baseline"/>
                <w14:textFill>
                  <w14:solidFill>
                    <w14:schemeClr w14:val="tx1"/>
                  </w14:solidFill>
                </w14:textFill>
              </w:rPr>
            </w:pPr>
            <w: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t>2处及以上</w:t>
            </w:r>
          </w:p>
        </w:tc>
        <w:tc>
          <w:tcPr>
            <w:tcW w:w="1425"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w:t>
            </w:r>
          </w:p>
        </w:tc>
        <w:tc>
          <w:tcPr>
            <w:tcW w:w="710"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vAlign w:val="center"/>
          </w:tcPr>
          <w:p>
            <w:pPr>
              <w:spacing w:line="24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w:t>
            </w:r>
          </w:p>
        </w:tc>
        <w:tc>
          <w:tcPr>
            <w:tcW w:w="1309" w:type="dxa"/>
            <w:vMerge w:val="continue"/>
            <w:vAlign w:val="center"/>
          </w:tcPr>
          <w:p>
            <w:pPr>
              <w:spacing w:line="240" w:lineRule="auto"/>
              <w:jc w:val="center"/>
              <w:rPr>
                <w:rFonts w:hint="eastAsia" w:ascii="楷体" w:hAnsi="楷体" w:eastAsia="楷体" w:cs="楷体"/>
                <w:b/>
                <w:bCs/>
                <w:color w:val="000000" w:themeColor="text1"/>
                <w:sz w:val="24"/>
                <w:szCs w:val="24"/>
                <w:vertAlign w:val="baseline"/>
                <w14:textFill>
                  <w14:solidFill>
                    <w14:schemeClr w14:val="tx1"/>
                  </w14:solidFill>
                </w14:textFill>
              </w:rPr>
            </w:pPr>
          </w:p>
        </w:tc>
        <w:tc>
          <w:tcPr>
            <w:tcW w:w="5547" w:type="dxa"/>
            <w:vAlign w:val="center"/>
          </w:tcPr>
          <w:p>
            <w:pPr>
              <w:keepNext w:val="0"/>
              <w:keepLines w:val="0"/>
              <w:widowControl/>
              <w:suppressLineNumbers w:val="0"/>
              <w:spacing w:line="240" w:lineRule="auto"/>
              <w:jc w:val="left"/>
              <w:textAlignment w:val="center"/>
              <w:rPr>
                <w:rFonts w:hint="eastAsia" w:ascii="楷体" w:hAnsi="楷体" w:eastAsia="楷体" w:cs="楷体"/>
                <w:b w:val="0"/>
                <w:bCs w:val="0"/>
                <w:color w:val="000000" w:themeColor="text1"/>
                <w:sz w:val="24"/>
                <w:szCs w:val="24"/>
                <w:vertAlign w:val="baseline"/>
                <w14:textFill>
                  <w14:solidFill>
                    <w14:schemeClr w14:val="tx1"/>
                  </w14:solidFill>
                </w14:textFill>
              </w:rPr>
            </w:pPr>
            <w: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t>塔吊覆盖范围内，固定活动场所、加工区所有操作区域无双层防护棚;存在2处及以上</w:t>
            </w:r>
          </w:p>
        </w:tc>
        <w:tc>
          <w:tcPr>
            <w:tcW w:w="1425"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2000（每处1000）</w:t>
            </w:r>
          </w:p>
        </w:tc>
        <w:tc>
          <w:tcPr>
            <w:tcW w:w="710"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vAlign w:val="center"/>
          </w:tcPr>
          <w:p>
            <w:pPr>
              <w:spacing w:line="24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21</w:t>
            </w:r>
          </w:p>
        </w:tc>
        <w:tc>
          <w:tcPr>
            <w:tcW w:w="1309" w:type="dxa"/>
            <w:vMerge w:val="continue"/>
            <w:vAlign w:val="center"/>
          </w:tcPr>
          <w:p>
            <w:pPr>
              <w:spacing w:line="240" w:lineRule="auto"/>
              <w:jc w:val="center"/>
              <w:rPr>
                <w:rFonts w:hint="eastAsia" w:ascii="楷体" w:hAnsi="楷体" w:eastAsia="楷体" w:cs="楷体"/>
                <w:b/>
                <w:bCs/>
                <w:color w:val="000000" w:themeColor="text1"/>
                <w:sz w:val="24"/>
                <w:szCs w:val="24"/>
                <w:vertAlign w:val="baseline"/>
                <w14:textFill>
                  <w14:solidFill>
                    <w14:schemeClr w14:val="tx1"/>
                  </w14:solidFill>
                </w14:textFill>
              </w:rPr>
            </w:pPr>
          </w:p>
        </w:tc>
        <w:tc>
          <w:tcPr>
            <w:tcW w:w="5547" w:type="dxa"/>
            <w:vAlign w:val="center"/>
          </w:tcPr>
          <w:p>
            <w:pPr>
              <w:keepNext w:val="0"/>
              <w:keepLines w:val="0"/>
              <w:widowControl/>
              <w:suppressLineNumbers w:val="0"/>
              <w:spacing w:line="240" w:lineRule="auto"/>
              <w:jc w:val="left"/>
              <w:textAlignment w:val="cente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pPr>
            <w:r>
              <w:rPr>
                <w:rFonts w:hint="eastAsia" w:ascii="楷体" w:hAnsi="楷体" w:eastAsia="楷体" w:cs="楷体"/>
                <w:b w:val="0"/>
                <w:bCs w:val="0"/>
                <w:color w:val="000000" w:themeColor="text1"/>
                <w:sz w:val="24"/>
                <w:szCs w:val="24"/>
                <w14:textFill>
                  <w14:solidFill>
                    <w14:schemeClr w14:val="tx1"/>
                  </w14:solidFill>
                </w14:textFill>
              </w:rPr>
              <w:t>高处作业未佩戴安全带或未系挂</w:t>
            </w:r>
            <w:r>
              <w:rPr>
                <w:rFonts w:hint="eastAsia" w:ascii="楷体" w:hAnsi="楷体" w:eastAsia="楷体" w:cs="楷体"/>
                <w:b w:val="0"/>
                <w:bCs w:val="0"/>
                <w:color w:val="000000" w:themeColor="text1"/>
                <w:sz w:val="24"/>
                <w:szCs w:val="24"/>
                <w:lang w:eastAsia="zh-CN"/>
                <w14:textFill>
                  <w14:solidFill>
                    <w14:schemeClr w14:val="tx1"/>
                  </w14:solidFill>
                </w14:textFill>
              </w:rPr>
              <w:t>，</w:t>
            </w:r>
            <w:r>
              <w:rPr>
                <w:rFonts w:hint="eastAsia" w:ascii="楷体" w:hAnsi="楷体" w:eastAsia="楷体" w:cs="楷体"/>
                <w:b w:val="0"/>
                <w:bCs w:val="0"/>
                <w:color w:val="000000" w:themeColor="text1"/>
                <w:sz w:val="24"/>
                <w:szCs w:val="24"/>
                <w14:textFill>
                  <w14:solidFill>
                    <w14:schemeClr w14:val="tx1"/>
                  </w14:solidFill>
                </w14:textFill>
              </w:rPr>
              <w:t>存在</w:t>
            </w:r>
            <w:r>
              <w:rPr>
                <w:rFonts w:hint="eastAsia" w:ascii="楷体" w:hAnsi="楷体" w:eastAsia="楷体" w:cs="楷体"/>
                <w:b w:val="0"/>
                <w:bCs w:val="0"/>
                <w:color w:val="000000" w:themeColor="text1"/>
                <w:sz w:val="24"/>
                <w:szCs w:val="24"/>
                <w:lang w:val="en-US" w:eastAsia="zh-CN"/>
                <w14:textFill>
                  <w14:solidFill>
                    <w14:schemeClr w14:val="tx1"/>
                  </w14:solidFill>
                </w14:textFill>
              </w:rPr>
              <w:t>2</w:t>
            </w:r>
            <w:r>
              <w:rPr>
                <w:rFonts w:hint="eastAsia" w:ascii="楷体" w:hAnsi="楷体" w:eastAsia="楷体" w:cs="楷体"/>
                <w:b w:val="0"/>
                <w:bCs w:val="0"/>
                <w:color w:val="000000" w:themeColor="text1"/>
                <w:sz w:val="24"/>
                <w:szCs w:val="24"/>
                <w14:textFill>
                  <w14:solidFill>
                    <w14:schemeClr w14:val="tx1"/>
                  </w14:solidFill>
                </w14:textFill>
              </w:rPr>
              <w:t>处及以上</w:t>
            </w:r>
          </w:p>
        </w:tc>
        <w:tc>
          <w:tcPr>
            <w:tcW w:w="1425"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2000（每处1000）</w:t>
            </w:r>
          </w:p>
        </w:tc>
        <w:tc>
          <w:tcPr>
            <w:tcW w:w="710"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vAlign w:val="center"/>
          </w:tcPr>
          <w:p>
            <w:pPr>
              <w:spacing w:line="24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22</w:t>
            </w:r>
          </w:p>
        </w:tc>
        <w:tc>
          <w:tcPr>
            <w:tcW w:w="1309" w:type="dxa"/>
            <w:vMerge w:val="continue"/>
            <w:vAlign w:val="center"/>
          </w:tcPr>
          <w:p>
            <w:pPr>
              <w:spacing w:line="240" w:lineRule="auto"/>
              <w:jc w:val="center"/>
              <w:rPr>
                <w:rFonts w:hint="eastAsia" w:ascii="楷体" w:hAnsi="楷体" w:eastAsia="楷体" w:cs="楷体"/>
                <w:b/>
                <w:bCs/>
                <w:color w:val="000000" w:themeColor="text1"/>
                <w:sz w:val="24"/>
                <w:szCs w:val="24"/>
                <w:vertAlign w:val="baseline"/>
                <w14:textFill>
                  <w14:solidFill>
                    <w14:schemeClr w14:val="tx1"/>
                  </w14:solidFill>
                </w14:textFill>
              </w:rPr>
            </w:pPr>
          </w:p>
        </w:tc>
        <w:tc>
          <w:tcPr>
            <w:tcW w:w="5547" w:type="dxa"/>
            <w:vAlign w:val="center"/>
          </w:tcPr>
          <w:p>
            <w:pPr>
              <w:spacing w:line="240" w:lineRule="auto"/>
              <w:jc w:val="left"/>
              <w:rPr>
                <w:rFonts w:hint="eastAsia" w:ascii="楷体" w:hAnsi="楷体" w:eastAsia="楷体" w:cs="楷体"/>
                <w:b w:val="0"/>
                <w:bCs w:val="0"/>
                <w:color w:val="000000" w:themeColor="text1"/>
                <w:sz w:val="24"/>
                <w:szCs w:val="24"/>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现场未戴安全帽人数达10个以上</w:t>
            </w:r>
          </w:p>
        </w:tc>
        <w:tc>
          <w:tcPr>
            <w:tcW w:w="1425"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2000（每5人1000）</w:t>
            </w:r>
          </w:p>
        </w:tc>
        <w:tc>
          <w:tcPr>
            <w:tcW w:w="710"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vAlign w:val="center"/>
          </w:tcPr>
          <w:p>
            <w:pPr>
              <w:spacing w:line="24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23</w:t>
            </w:r>
          </w:p>
        </w:tc>
        <w:tc>
          <w:tcPr>
            <w:tcW w:w="1309" w:type="dxa"/>
            <w:vMerge w:val="continue"/>
            <w:vAlign w:val="center"/>
          </w:tcPr>
          <w:p>
            <w:pPr>
              <w:spacing w:line="240" w:lineRule="auto"/>
              <w:jc w:val="center"/>
              <w:rPr>
                <w:rFonts w:hint="eastAsia" w:ascii="楷体" w:hAnsi="楷体" w:eastAsia="楷体" w:cs="楷体"/>
                <w:b/>
                <w:bCs/>
                <w:color w:val="000000" w:themeColor="text1"/>
                <w:sz w:val="24"/>
                <w:szCs w:val="24"/>
                <w:vertAlign w:val="baseline"/>
                <w14:textFill>
                  <w14:solidFill>
                    <w14:schemeClr w14:val="tx1"/>
                  </w14:solidFill>
                </w14:textFill>
              </w:rPr>
            </w:pPr>
          </w:p>
        </w:tc>
        <w:tc>
          <w:tcPr>
            <w:tcW w:w="5547" w:type="dxa"/>
            <w:vAlign w:val="center"/>
          </w:tcPr>
          <w:p>
            <w:pPr>
              <w:spacing w:line="240" w:lineRule="auto"/>
              <w:jc w:val="left"/>
              <w:rPr>
                <w:rFonts w:hint="eastAsia" w:ascii="楷体" w:hAnsi="楷体" w:eastAsia="楷体" w:cs="楷体"/>
                <w:b w:val="0"/>
                <w:bCs w:val="0"/>
                <w:color w:val="000000" w:themeColor="text1"/>
                <w:sz w:val="24"/>
                <w:szCs w:val="24"/>
                <w14:textFill>
                  <w14:solidFill>
                    <w14:schemeClr w14:val="tx1"/>
                  </w14:solidFill>
                </w14:textFill>
              </w:rPr>
            </w:pPr>
            <w:r>
              <w:rPr>
                <w:rFonts w:hint="eastAsia" w:ascii="楷体" w:hAnsi="楷体" w:eastAsia="楷体" w:cs="楷体"/>
                <w:b w:val="0"/>
                <w:bCs w:val="0"/>
                <w:color w:val="000000" w:themeColor="text1"/>
                <w:sz w:val="24"/>
                <w:szCs w:val="24"/>
                <w14:textFill>
                  <w14:solidFill>
                    <w14:schemeClr w14:val="tx1"/>
                  </w14:solidFill>
                </w14:textFill>
              </w:rPr>
              <w:t>吊车司机、信号工、电梯司机、机械操作人员</w:t>
            </w:r>
            <w:r>
              <w:rPr>
                <w:rFonts w:hint="eastAsia" w:ascii="楷体" w:hAnsi="楷体" w:eastAsia="楷体" w:cs="楷体"/>
                <w:b w:val="0"/>
                <w:bCs w:val="0"/>
                <w:color w:val="000000" w:themeColor="text1"/>
                <w:sz w:val="24"/>
                <w:szCs w:val="24"/>
                <w:lang w:eastAsia="zh-CN"/>
                <w14:textFill>
                  <w14:solidFill>
                    <w14:schemeClr w14:val="tx1"/>
                  </w14:solidFill>
                </w14:textFill>
              </w:rPr>
              <w:t>、</w:t>
            </w:r>
            <w:r>
              <w:rPr>
                <w:rFonts w:hint="eastAsia" w:ascii="楷体" w:hAnsi="楷体" w:eastAsia="楷体" w:cs="楷体"/>
                <w:b w:val="0"/>
                <w:bCs w:val="0"/>
                <w:color w:val="000000" w:themeColor="text1"/>
                <w:sz w:val="24"/>
                <w:szCs w:val="24"/>
                <w:lang w:val="en-US" w:eastAsia="zh-CN"/>
                <w14:textFill>
                  <w14:solidFill>
                    <w14:schemeClr w14:val="tx1"/>
                  </w14:solidFill>
                </w14:textFill>
              </w:rPr>
              <w:t>架子工、焊工</w:t>
            </w:r>
            <w:r>
              <w:rPr>
                <w:rFonts w:hint="eastAsia" w:ascii="楷体" w:hAnsi="楷体" w:eastAsia="楷体" w:cs="楷体"/>
                <w:b w:val="0"/>
                <w:bCs w:val="0"/>
                <w:color w:val="000000" w:themeColor="text1"/>
                <w:sz w:val="24"/>
                <w:szCs w:val="24"/>
                <w14:textFill>
                  <w14:solidFill>
                    <w14:schemeClr w14:val="tx1"/>
                  </w14:solidFill>
                </w14:textFill>
              </w:rPr>
              <w:t>等特殊作业人员</w:t>
            </w:r>
            <w:r>
              <w:rPr>
                <w:rFonts w:hint="eastAsia" w:ascii="楷体" w:hAnsi="楷体" w:eastAsia="楷体" w:cs="楷体"/>
                <w:b w:val="0"/>
                <w:bCs w:val="0"/>
                <w:color w:val="000000" w:themeColor="text1"/>
                <w:sz w:val="24"/>
                <w:szCs w:val="24"/>
                <w:lang w:val="en-US" w:eastAsia="zh-CN"/>
                <w14:textFill>
                  <w14:solidFill>
                    <w14:schemeClr w14:val="tx1"/>
                  </w14:solidFill>
                </w14:textFill>
              </w:rPr>
              <w:t>未</w:t>
            </w:r>
            <w:r>
              <w:rPr>
                <w:rFonts w:hint="eastAsia" w:ascii="楷体" w:hAnsi="楷体" w:eastAsia="楷体" w:cs="楷体"/>
                <w:b w:val="0"/>
                <w:bCs w:val="0"/>
                <w:color w:val="000000" w:themeColor="text1"/>
                <w:sz w:val="24"/>
                <w:szCs w:val="24"/>
                <w14:textFill>
                  <w14:solidFill>
                    <w14:schemeClr w14:val="tx1"/>
                  </w14:solidFill>
                </w14:textFill>
              </w:rPr>
              <w:t>持证上岗；超过</w:t>
            </w:r>
            <w:r>
              <w:rPr>
                <w:rFonts w:hint="eastAsia" w:ascii="楷体" w:hAnsi="楷体" w:eastAsia="楷体" w:cs="楷体"/>
                <w:b w:val="0"/>
                <w:bCs w:val="0"/>
                <w:color w:val="000000" w:themeColor="text1"/>
                <w:sz w:val="24"/>
                <w:szCs w:val="24"/>
                <w:lang w:val="en-US" w:eastAsia="zh-CN"/>
                <w14:textFill>
                  <w14:solidFill>
                    <w14:schemeClr w14:val="tx1"/>
                  </w14:solidFill>
                </w14:textFill>
              </w:rPr>
              <w:t>4个</w:t>
            </w:r>
            <w:r>
              <w:rPr>
                <w:rFonts w:hint="eastAsia" w:ascii="楷体" w:hAnsi="楷体" w:eastAsia="楷体" w:cs="楷体"/>
                <w:b w:val="0"/>
                <w:bCs w:val="0"/>
                <w:color w:val="000000" w:themeColor="text1"/>
                <w:sz w:val="24"/>
                <w:szCs w:val="24"/>
                <w14:textFill>
                  <w14:solidFill>
                    <w14:schemeClr w14:val="tx1"/>
                  </w14:solidFill>
                </w14:textFill>
              </w:rPr>
              <w:t>及以上</w:t>
            </w:r>
          </w:p>
        </w:tc>
        <w:tc>
          <w:tcPr>
            <w:tcW w:w="1425"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2000（每人500）</w:t>
            </w:r>
          </w:p>
        </w:tc>
        <w:tc>
          <w:tcPr>
            <w:tcW w:w="710"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trPr>
        <w:tc>
          <w:tcPr>
            <w:tcW w:w="553" w:type="dxa"/>
            <w:vAlign w:val="center"/>
          </w:tcPr>
          <w:p>
            <w:pPr>
              <w:spacing w:line="24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24</w:t>
            </w:r>
          </w:p>
        </w:tc>
        <w:tc>
          <w:tcPr>
            <w:tcW w:w="1309" w:type="dxa"/>
            <w:vMerge w:val="restart"/>
            <w:vAlign w:val="center"/>
          </w:tcPr>
          <w:p>
            <w:pPr>
              <w:spacing w:line="24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t>吊篮</w:t>
            </w:r>
          </w:p>
        </w:tc>
        <w:tc>
          <w:tcPr>
            <w:tcW w:w="5547" w:type="dxa"/>
            <w:vAlign w:val="center"/>
          </w:tcPr>
          <w:p>
            <w:pPr>
              <w:keepNext w:val="0"/>
              <w:keepLines w:val="0"/>
              <w:widowControl/>
              <w:suppressLineNumbers w:val="0"/>
              <w:spacing w:line="240" w:lineRule="auto"/>
              <w:jc w:val="left"/>
              <w:textAlignment w:val="cente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pPr>
            <w: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t>1.吊篮安装无经审批的方案或未按经审批的方案安装</w:t>
            </w:r>
          </w:p>
          <w:p>
            <w:pPr>
              <w:keepNext w:val="0"/>
              <w:keepLines w:val="0"/>
              <w:widowControl/>
              <w:suppressLineNumbers w:val="0"/>
              <w:spacing w:line="240" w:lineRule="auto"/>
              <w:jc w:val="left"/>
              <w:textAlignment w:val="cente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pPr>
            <w: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t>2.悬挂机构前支架支撑在建筑物女儿墙上或挑檐边缘等非承重结构；</w:t>
            </w:r>
          </w:p>
          <w:p>
            <w:pPr>
              <w:keepNext w:val="0"/>
              <w:keepLines w:val="0"/>
              <w:widowControl/>
              <w:suppressLineNumbers w:val="0"/>
              <w:spacing w:line="240" w:lineRule="auto"/>
              <w:jc w:val="left"/>
              <w:textAlignment w:val="cente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pPr>
            <w: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t>3.钢丝绳不得破损，安全绳和钢丝绳在结构接触部位未设置防磨损措施；</w:t>
            </w:r>
          </w:p>
          <w:p>
            <w:pPr>
              <w:spacing w:line="240" w:lineRule="auto"/>
              <w:jc w:val="left"/>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pPr>
            <w:r>
              <w:rPr>
                <w:sz w:val="24"/>
              </w:rPr>
              <mc:AlternateContent>
                <mc:Choice Requires="wps">
                  <w:drawing>
                    <wp:anchor distT="0" distB="0" distL="114300" distR="114300" simplePos="0" relativeHeight="251663360" behindDoc="0" locked="0" layoutInCell="1" allowOverlap="1">
                      <wp:simplePos x="0" y="0"/>
                      <wp:positionH relativeFrom="column">
                        <wp:posOffset>4404360</wp:posOffset>
                      </wp:positionH>
                      <wp:positionV relativeFrom="paragraph">
                        <wp:posOffset>153035</wp:posOffset>
                      </wp:positionV>
                      <wp:extent cx="363855" cy="372110"/>
                      <wp:effectExtent l="0" t="0" r="17145" b="8890"/>
                      <wp:wrapNone/>
                      <wp:docPr id="7" name="文本框 7"/>
                      <wp:cNvGraphicFramePr/>
                      <a:graphic xmlns:a="http://schemas.openxmlformats.org/drawingml/2006/main">
                        <a:graphicData uri="http://schemas.microsoft.com/office/word/2010/wordprocessingShape">
                          <wps:wsp>
                            <wps:cNvSpPr txBox="1"/>
                            <wps:spPr>
                              <a:xfrm>
                                <a:off x="6382385" y="1284605"/>
                                <a:ext cx="363855" cy="37211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楷体" w:hAnsi="楷体" w:eastAsia="楷体" w:cs="楷体"/>
                                      <w:sz w:val="24"/>
                                      <w:szCs w:val="32"/>
                                      <w:lang w:val="en-US" w:eastAsia="zh-CN"/>
                                    </w:rPr>
                                  </w:pPr>
                                  <w:r>
                                    <w:rPr>
                                      <w:rFonts w:hint="eastAsia" w:ascii="楷体" w:hAnsi="楷体" w:eastAsia="楷体" w:cs="楷体"/>
                                      <w:sz w:val="24"/>
                                      <w:szCs w:val="32"/>
                                      <w:lang w:val="en-US" w:eastAsia="zh-CN"/>
                                    </w:rPr>
                                    <w:t>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6.8pt;margin-top:12.05pt;height:29.3pt;width:28.65pt;z-index:251663360;mso-width-relative:page;mso-height-relative:page;" fillcolor="#FFFFFF [3201]" filled="t" stroked="f" coordsize="21600,21600" o:gfxdata="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4weT21QAA&#10;AAkBAAAPAAAAAAAAAAEAIAAAACIAAABkcnMvZG93bnJldi54bWxQSwECFAAUAAAACACHTuJAc59V&#10;IFoCAACaBAAADgAAAAAAAAABACAAAAAkAQAAZHJzL2Uyb0RvYy54bWxQSwUGAAAAAAYABgBZAQAA&#10;8AUAAAAA&#10;">
                      <v:fill on="t" focussize="0,0"/>
                      <v:stroke on="f" weight="0.5pt"/>
                      <v:imagedata o:title=""/>
                      <o:lock v:ext="edit" aspectratio="f"/>
                      <v:textbox>
                        <w:txbxContent>
                          <w:p>
                            <w:pPr>
                              <w:rPr>
                                <w:rFonts w:hint="eastAsia" w:ascii="楷体" w:hAnsi="楷体" w:eastAsia="楷体" w:cs="楷体"/>
                                <w:sz w:val="24"/>
                                <w:szCs w:val="32"/>
                                <w:lang w:val="en-US" w:eastAsia="zh-CN"/>
                              </w:rPr>
                            </w:pPr>
                            <w:r>
                              <w:rPr>
                                <w:rFonts w:hint="eastAsia" w:ascii="楷体" w:hAnsi="楷体" w:eastAsia="楷体" w:cs="楷体"/>
                                <w:sz w:val="24"/>
                                <w:szCs w:val="32"/>
                                <w:lang w:val="en-US" w:eastAsia="zh-CN"/>
                              </w:rPr>
                              <w:t>黄</w:t>
                            </w:r>
                          </w:p>
                        </w:txbxContent>
                      </v:textbox>
                    </v:shape>
                  </w:pict>
                </mc:Fallback>
              </mc:AlternateContent>
            </w:r>
            <w:r>
              <w:rPr>
                <w:sz w:val="24"/>
              </w:rPr>
              <mc:AlternateContent>
                <mc:Choice Requires="wps">
                  <w:drawing>
                    <wp:anchor distT="0" distB="0" distL="114300" distR="114300" simplePos="0" relativeHeight="251662336" behindDoc="0" locked="0" layoutInCell="1" allowOverlap="1">
                      <wp:simplePos x="0" y="0"/>
                      <wp:positionH relativeFrom="column">
                        <wp:posOffset>3486785</wp:posOffset>
                      </wp:positionH>
                      <wp:positionV relativeFrom="paragraph">
                        <wp:posOffset>69215</wp:posOffset>
                      </wp:positionV>
                      <wp:extent cx="848360" cy="622935"/>
                      <wp:effectExtent l="0" t="0" r="8890" b="5715"/>
                      <wp:wrapNone/>
                      <wp:docPr id="6" name="文本框 6"/>
                      <wp:cNvGraphicFramePr/>
                      <a:graphic xmlns:a="http://schemas.openxmlformats.org/drawingml/2006/main">
                        <a:graphicData uri="http://schemas.microsoft.com/office/word/2010/wordprocessingShape">
                          <wps:wsp>
                            <wps:cNvSpPr txBox="1"/>
                            <wps:spPr>
                              <a:xfrm>
                                <a:off x="5473065" y="1313180"/>
                                <a:ext cx="848360" cy="62293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2000（每个500）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4.55pt;margin-top:5.45pt;height:49.05pt;width:66.8pt;z-index:251662336;mso-width-relative:page;mso-height-relative:page;" fillcolor="#FFFFFF [3201]" filled="t" stroked="f" coordsize="21600,21600" o:gfxdata="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S5VSXtQAAAAK&#10;AQAADwAAAAAAAAABACAAAAAiAAAAZHJzL2Rvd25yZXYueG1sUEsBAhQAFAAAAAgAh07iQJeoBORZ&#10;AgAAmgQAAA4AAAAAAAAAAQAgAAAAIwEAAGRycy9lMm9Eb2MueG1sUEsFBgAAAAAGAAYAWQEAAO4F&#10;AAAAAA==&#10;">
                      <v:fill on="t" focussize="0,0"/>
                      <v:stroke on="f" weight="0.5pt"/>
                      <v:imagedata o:title=""/>
                      <o:lock v:ext="edit" aspectratio="f"/>
                      <v:textbox>
                        <w:txbxContent>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2000（每个500）</w:t>
                            </w:r>
                          </w:p>
                        </w:txbxContent>
                      </v:textbox>
                    </v:shape>
                  </w:pict>
                </mc:Fallback>
              </mc:AlternateContent>
            </w:r>
            <w: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t>4.防坠锁失效；</w:t>
            </w:r>
          </w:p>
          <w:p>
            <w:pPr>
              <w:spacing w:line="240" w:lineRule="auto"/>
              <w:jc w:val="left"/>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pPr>
            <w:r>
              <w:rPr>
                <w:sz w:val="24"/>
              </w:rPr>
              <mc:AlternateContent>
                <mc:Choice Requires="wps">
                  <w:drawing>
                    <wp:anchor distT="0" distB="0" distL="114300" distR="114300" simplePos="0" relativeHeight="251661312" behindDoc="0" locked="0" layoutInCell="1" allowOverlap="1">
                      <wp:simplePos x="0" y="0"/>
                      <wp:positionH relativeFrom="column">
                        <wp:posOffset>-869950</wp:posOffset>
                      </wp:positionH>
                      <wp:positionV relativeFrom="paragraph">
                        <wp:posOffset>38735</wp:posOffset>
                      </wp:positionV>
                      <wp:extent cx="770890" cy="276860"/>
                      <wp:effectExtent l="0" t="0" r="10160" b="8890"/>
                      <wp:wrapNone/>
                      <wp:docPr id="5" name="文本框 5"/>
                      <wp:cNvGraphicFramePr/>
                      <a:graphic xmlns:a="http://schemas.openxmlformats.org/drawingml/2006/main">
                        <a:graphicData uri="http://schemas.microsoft.com/office/word/2010/wordprocessingShape">
                          <wps:wsp>
                            <wps:cNvSpPr txBox="1"/>
                            <wps:spPr>
                              <a:xfrm>
                                <a:off x="1108710" y="1284605"/>
                                <a:ext cx="770890" cy="2768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楷体" w:hAnsi="楷体" w:eastAsia="楷体" w:cs="楷体"/>
                                      <w:b/>
                                      <w:bCs/>
                                      <w:sz w:val="24"/>
                                      <w:szCs w:val="32"/>
                                      <w:lang w:val="en-US" w:eastAsia="zh-CN"/>
                                    </w:rPr>
                                  </w:pPr>
                                  <w:r>
                                    <w:rPr>
                                      <w:rFonts w:hint="eastAsia" w:ascii="楷体" w:hAnsi="楷体" w:eastAsia="楷体" w:cs="楷体"/>
                                      <w:b/>
                                      <w:bCs/>
                                      <w:sz w:val="24"/>
                                      <w:szCs w:val="32"/>
                                      <w:lang w:val="en-US" w:eastAsia="zh-CN"/>
                                    </w:rPr>
                                    <w:t>吊篮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8.5pt;margin-top:3.05pt;height:21.8pt;width:60.7pt;z-index:251661312;mso-width-relative:page;mso-height-relative:page;" fillcolor="#FFFFFF [3201]" filled="t" stroked="f" coordsize="21600,21600" o:gfxdata="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LNMkgDV&#10;AAAACQEAAA8AAAAAAAAAAQAgAAAAIgAAAGRycy9kb3ducmV2LnhtbFBLAQIUABQAAAAIAIdO4kBj&#10;F/fmXAIAAJoEAAAOAAAAAAAAAAEAIAAAACQBAABkcnMvZTJvRG9jLnhtbFBLBQYAAAAABgAGAFkB&#10;AADyBQAAAAA=&#10;">
                      <v:fill on="t" focussize="0,0"/>
                      <v:stroke on="f" weight="0.5pt"/>
                      <v:imagedata o:title=""/>
                      <o:lock v:ext="edit" aspectratio="f"/>
                      <v:textbox>
                        <w:txbxContent>
                          <w:p>
                            <w:pPr>
                              <w:jc w:val="center"/>
                              <w:rPr>
                                <w:rFonts w:hint="eastAsia" w:ascii="楷体" w:hAnsi="楷体" w:eastAsia="楷体" w:cs="楷体"/>
                                <w:b/>
                                <w:bCs/>
                                <w:sz w:val="24"/>
                                <w:szCs w:val="32"/>
                                <w:lang w:val="en-US" w:eastAsia="zh-CN"/>
                              </w:rPr>
                            </w:pPr>
                            <w:r>
                              <w:rPr>
                                <w:rFonts w:hint="eastAsia" w:ascii="楷体" w:hAnsi="楷体" w:eastAsia="楷体" w:cs="楷体"/>
                                <w:b/>
                                <w:bCs/>
                                <w:sz w:val="24"/>
                                <w:szCs w:val="32"/>
                                <w:lang w:val="en-US" w:eastAsia="zh-CN"/>
                              </w:rPr>
                              <w:t>吊篮</w:t>
                            </w:r>
                          </w:p>
                        </w:txbxContent>
                      </v:textbox>
                    </v:shape>
                  </w:pict>
                </mc:Fallback>
              </mc:AlternateContent>
            </w:r>
            <w: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t>5.配重块固定不牢固或有明显破损；</w:t>
            </w:r>
          </w:p>
          <w:p>
            <w:pPr>
              <w:keepNext w:val="0"/>
              <w:keepLines w:val="0"/>
              <w:widowControl/>
              <w:suppressLineNumbers w:val="0"/>
              <w:spacing w:line="240" w:lineRule="auto"/>
              <w:jc w:val="left"/>
              <w:textAlignment w:val="cente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pPr>
            <w: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t>6.上限位装置不合格；</w:t>
            </w:r>
          </w:p>
          <w:p>
            <w:pPr>
              <w:keepNext w:val="0"/>
              <w:keepLines w:val="0"/>
              <w:widowControl/>
              <w:suppressLineNumbers w:val="0"/>
              <w:spacing w:line="240" w:lineRule="auto"/>
              <w:jc w:val="left"/>
              <w:textAlignment w:val="cente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pPr>
            <w: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t>7.超载超限；</w:t>
            </w:r>
          </w:p>
          <w:p>
            <w:pPr>
              <w:keepNext w:val="0"/>
              <w:keepLines w:val="0"/>
              <w:widowControl/>
              <w:suppressLineNumbers w:val="0"/>
              <w:spacing w:line="240" w:lineRule="auto"/>
              <w:jc w:val="left"/>
              <w:textAlignment w:val="cente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pPr>
            <w: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t>合4个以上</w:t>
            </w:r>
          </w:p>
        </w:tc>
        <w:tc>
          <w:tcPr>
            <w:tcW w:w="1425"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2000（每个500）</w:t>
            </w:r>
          </w:p>
        </w:tc>
        <w:tc>
          <w:tcPr>
            <w:tcW w:w="710"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4" w:hRule="exact"/>
        </w:trPr>
        <w:tc>
          <w:tcPr>
            <w:tcW w:w="553" w:type="dxa"/>
            <w:vAlign w:val="center"/>
          </w:tcPr>
          <w:p>
            <w:pPr>
              <w:spacing w:line="240" w:lineRule="auto"/>
              <w:jc w:val="center"/>
              <w:rPr>
                <w:rFonts w:hint="default" w:ascii="楷体" w:hAnsi="楷体" w:eastAsia="楷体" w:cs="楷体"/>
                <w:b w:val="0"/>
                <w:bCs w:val="0"/>
                <w:color w:val="auto"/>
                <w:sz w:val="24"/>
                <w:szCs w:val="24"/>
                <w:vertAlign w:val="baseline"/>
                <w:lang w:val="en-US" w:eastAsia="zh-CN"/>
              </w:rPr>
            </w:pPr>
            <w:r>
              <w:rPr>
                <w:rFonts w:hint="eastAsia" w:ascii="楷体" w:hAnsi="楷体" w:eastAsia="楷体" w:cs="楷体"/>
                <w:b w:val="0"/>
                <w:bCs w:val="0"/>
                <w:color w:val="auto"/>
                <w:sz w:val="24"/>
                <w:szCs w:val="24"/>
                <w:vertAlign w:val="baseline"/>
                <w:lang w:val="en-US" w:eastAsia="zh-CN"/>
              </w:rPr>
              <w:t>25</w:t>
            </w:r>
          </w:p>
        </w:tc>
        <w:tc>
          <w:tcPr>
            <w:tcW w:w="1309" w:type="dxa"/>
            <w:vMerge w:val="restart"/>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p>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p>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p>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p>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t>机械</w:t>
            </w:r>
          </w:p>
        </w:tc>
        <w:tc>
          <w:tcPr>
            <w:tcW w:w="5547" w:type="dxa"/>
            <w:vAlign w:val="center"/>
          </w:tcPr>
          <w:p>
            <w:pPr>
              <w:pStyle w:val="8"/>
              <w:spacing w:line="240" w:lineRule="auto"/>
              <w:ind w:left="0" w:leftChars="0" w:firstLine="0" w:firstLineChars="0"/>
              <w:jc w:val="left"/>
              <w:rPr>
                <w:rFonts w:hint="eastAsia" w:ascii="楷体" w:hAnsi="楷体" w:eastAsia="楷体" w:cs="楷体"/>
                <w:b w:val="0"/>
                <w:bCs w:val="0"/>
                <w:color w:val="000000" w:themeColor="text1"/>
                <w:sz w:val="24"/>
                <w:szCs w:val="24"/>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1.</w:t>
            </w:r>
            <w:r>
              <w:rPr>
                <w:rFonts w:hint="eastAsia" w:ascii="楷体" w:hAnsi="楷体" w:eastAsia="楷体" w:cs="楷体"/>
                <w:b w:val="0"/>
                <w:bCs w:val="0"/>
                <w:color w:val="000000" w:themeColor="text1"/>
                <w:sz w:val="24"/>
                <w:szCs w:val="24"/>
                <w14:textFill>
                  <w14:solidFill>
                    <w14:schemeClr w14:val="tx1"/>
                  </w14:solidFill>
                </w14:textFill>
              </w:rPr>
              <w:t>塔吊及人货梯</w:t>
            </w:r>
            <w:r>
              <w:rPr>
                <w:rFonts w:hint="eastAsia" w:ascii="楷体" w:hAnsi="楷体" w:eastAsia="楷体" w:cs="楷体"/>
                <w:b w:val="0"/>
                <w:bCs w:val="0"/>
                <w:color w:val="000000" w:themeColor="text1"/>
                <w:sz w:val="24"/>
                <w:szCs w:val="24"/>
                <w:lang w:val="en-US" w:eastAsia="zh-CN"/>
                <w14:textFill>
                  <w14:solidFill>
                    <w14:schemeClr w14:val="tx1"/>
                  </w14:solidFill>
                </w14:textFill>
              </w:rPr>
              <w:t>安装</w:t>
            </w:r>
            <w:r>
              <w:rPr>
                <w:rFonts w:hint="eastAsia" w:ascii="楷体" w:hAnsi="楷体" w:eastAsia="楷体" w:cs="楷体"/>
                <w:b w:val="0"/>
                <w:bCs w:val="0"/>
                <w:color w:val="000000" w:themeColor="text1"/>
                <w:sz w:val="24"/>
                <w:szCs w:val="24"/>
                <w14:textFill>
                  <w14:solidFill>
                    <w14:schemeClr w14:val="tx1"/>
                  </w14:solidFill>
                </w14:textFill>
              </w:rPr>
              <w:t>无经审批的方案，或未曾按方案施工</w:t>
            </w:r>
          </w:p>
          <w:p>
            <w:pPr>
              <w:pStyle w:val="8"/>
              <w:spacing w:line="240" w:lineRule="auto"/>
              <w:ind w:left="0" w:leftChars="0" w:firstLine="0" w:firstLineChars="0"/>
              <w:jc w:val="left"/>
              <w:rPr>
                <w:rFonts w:hint="eastAsia" w:ascii="楷体" w:hAnsi="楷体" w:eastAsia="楷体" w:cs="楷体"/>
                <w:b w:val="0"/>
                <w:bCs w:val="0"/>
                <w:color w:val="000000" w:themeColor="text1"/>
                <w:sz w:val="24"/>
                <w:szCs w:val="24"/>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2.</w:t>
            </w:r>
            <w:r>
              <w:rPr>
                <w:rFonts w:hint="eastAsia" w:ascii="楷体" w:hAnsi="楷体" w:eastAsia="楷体" w:cs="楷体"/>
                <w:b w:val="0"/>
                <w:bCs w:val="0"/>
                <w:color w:val="000000" w:themeColor="text1"/>
                <w:sz w:val="24"/>
                <w:szCs w:val="24"/>
                <w14:textFill>
                  <w14:solidFill>
                    <w14:schemeClr w14:val="tx1"/>
                  </w14:solidFill>
                </w14:textFill>
              </w:rPr>
              <w:t>安装有3台及以上塔吊，而无经审批的群塔作业方案，或未曾按方案执行</w:t>
            </w:r>
          </w:p>
          <w:p>
            <w:pPr>
              <w:keepNext w:val="0"/>
              <w:keepLines w:val="0"/>
              <w:widowControl/>
              <w:suppressLineNumbers w:val="0"/>
              <w:spacing w:line="240" w:lineRule="auto"/>
              <w:jc w:val="left"/>
              <w:textAlignment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3.没有对特殊作业人员进行书面交底</w:t>
            </w:r>
          </w:p>
          <w:p>
            <w:pPr>
              <w:spacing w:line="240" w:lineRule="auto"/>
              <w:jc w:val="left"/>
              <w:rPr>
                <w:rFonts w:hint="eastAsia" w:ascii="楷体" w:hAnsi="楷体" w:eastAsia="楷体" w:cs="楷体"/>
                <w:b w:val="0"/>
                <w:bCs w:val="0"/>
                <w:color w:val="000000" w:themeColor="text1"/>
                <w:sz w:val="24"/>
                <w:szCs w:val="24"/>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4.</w:t>
            </w:r>
            <w:r>
              <w:rPr>
                <w:rFonts w:hint="eastAsia" w:ascii="楷体" w:hAnsi="楷体" w:eastAsia="楷体" w:cs="楷体"/>
                <w:b w:val="0"/>
                <w:bCs w:val="0"/>
                <w:color w:val="000000" w:themeColor="text1"/>
                <w:sz w:val="24"/>
                <w:szCs w:val="24"/>
                <w14:textFill>
                  <w14:solidFill>
                    <w14:schemeClr w14:val="tx1"/>
                  </w14:solidFill>
                </w14:textFill>
              </w:rPr>
              <w:t xml:space="preserve"> 塔吊、人货电梯未曾验收合格投入使用</w:t>
            </w:r>
            <w:r>
              <w:rPr>
                <w:rFonts w:hint="eastAsia" w:ascii="楷体" w:hAnsi="楷体" w:eastAsia="楷体" w:cs="楷体"/>
                <w:b w:val="0"/>
                <w:bCs w:val="0"/>
                <w:color w:val="000000" w:themeColor="text1"/>
                <w:sz w:val="24"/>
                <w:szCs w:val="24"/>
                <w:lang w:eastAsia="zh-CN"/>
                <w14:textFill>
                  <w14:solidFill>
                    <w14:schemeClr w14:val="tx1"/>
                  </w14:solidFill>
                </w14:textFill>
              </w:rPr>
              <w:t>，</w:t>
            </w:r>
            <w:r>
              <w:rPr>
                <w:rFonts w:hint="eastAsia" w:ascii="楷体" w:hAnsi="楷体" w:eastAsia="楷体" w:cs="楷体"/>
                <w:b w:val="0"/>
                <w:bCs w:val="0"/>
                <w:color w:val="000000" w:themeColor="text1"/>
                <w:sz w:val="24"/>
                <w:szCs w:val="24"/>
                <w:lang w:val="en-US" w:eastAsia="zh-CN"/>
                <w14:textFill>
                  <w14:solidFill>
                    <w14:schemeClr w14:val="tx1"/>
                  </w14:solidFill>
                </w14:textFill>
              </w:rPr>
              <w:t>或</w:t>
            </w:r>
            <w:r>
              <w:rPr>
                <w:rFonts w:hint="eastAsia" w:ascii="楷体" w:hAnsi="楷体" w:eastAsia="楷体" w:cs="楷体"/>
                <w:b w:val="0"/>
                <w:bCs w:val="0"/>
                <w:color w:val="000000" w:themeColor="text1"/>
                <w:sz w:val="24"/>
                <w:szCs w:val="24"/>
                <w14:textFill>
                  <w14:solidFill>
                    <w14:schemeClr w14:val="tx1"/>
                  </w14:solidFill>
                </w14:textFill>
              </w:rPr>
              <w:t>验收合格证书缺失</w:t>
            </w:r>
          </w:p>
          <w:p>
            <w:pPr>
              <w:spacing w:line="240" w:lineRule="auto"/>
              <w:jc w:val="left"/>
              <w:rPr>
                <w:rFonts w:hint="eastAsia"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 xml:space="preserve">5. </w:t>
            </w:r>
            <w:r>
              <w:rPr>
                <w:rFonts w:hint="eastAsia" w:ascii="楷体" w:hAnsi="楷体" w:eastAsia="楷体" w:cs="楷体"/>
                <w:b w:val="0"/>
                <w:bCs w:val="0"/>
                <w:color w:val="000000" w:themeColor="text1"/>
                <w:sz w:val="24"/>
                <w:szCs w:val="24"/>
                <w14:textFill>
                  <w14:solidFill>
                    <w14:schemeClr w14:val="tx1"/>
                  </w14:solidFill>
                </w14:textFill>
              </w:rPr>
              <w:t>在大型机械拆除（或吊装）、高处有坠物风险的区域没有使用安全警示带进行分隔警示、专人旁站</w:t>
            </w:r>
          </w:p>
          <w:p>
            <w:pPr>
              <w:spacing w:line="240" w:lineRule="auto"/>
              <w:jc w:val="left"/>
              <w:rPr>
                <w:rFonts w:hint="eastAsia"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合2项及以上</w:t>
            </w:r>
          </w:p>
        </w:tc>
        <w:tc>
          <w:tcPr>
            <w:tcW w:w="1425"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p>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2000（每项1000）</w:t>
            </w:r>
          </w:p>
        </w:tc>
        <w:tc>
          <w:tcPr>
            <w:tcW w:w="710"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p>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vAlign w:val="center"/>
          </w:tcPr>
          <w:p>
            <w:pPr>
              <w:spacing w:line="240" w:lineRule="auto"/>
              <w:jc w:val="center"/>
              <w:rPr>
                <w:rFonts w:hint="default" w:ascii="楷体" w:hAnsi="楷体" w:eastAsia="楷体" w:cs="楷体"/>
                <w:b w:val="0"/>
                <w:bCs w:val="0"/>
                <w:color w:val="auto"/>
                <w:sz w:val="24"/>
                <w:szCs w:val="24"/>
                <w:vertAlign w:val="baseline"/>
                <w:lang w:val="en-US" w:eastAsia="zh-CN"/>
              </w:rPr>
            </w:pPr>
            <w:r>
              <w:rPr>
                <w:rFonts w:hint="eastAsia" w:ascii="楷体" w:hAnsi="楷体" w:eastAsia="楷体" w:cs="楷体"/>
                <w:b w:val="0"/>
                <w:bCs w:val="0"/>
                <w:color w:val="auto"/>
                <w:sz w:val="24"/>
                <w:szCs w:val="24"/>
                <w:vertAlign w:val="baseline"/>
                <w:lang w:val="en-US" w:eastAsia="zh-CN"/>
              </w:rPr>
              <w:t>26</w:t>
            </w:r>
          </w:p>
        </w:tc>
        <w:tc>
          <w:tcPr>
            <w:tcW w:w="1309" w:type="dxa"/>
            <w:vMerge w:val="continue"/>
            <w:vAlign w:val="center"/>
          </w:tcPr>
          <w:p>
            <w:pPr>
              <w:spacing w:line="240" w:lineRule="auto"/>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p>
        </w:tc>
        <w:tc>
          <w:tcPr>
            <w:tcW w:w="5547" w:type="dxa"/>
            <w:vAlign w:val="center"/>
          </w:tcPr>
          <w:p>
            <w:pPr>
              <w:keepNext w:val="0"/>
              <w:keepLines w:val="0"/>
              <w:widowControl/>
              <w:suppressLineNumbers w:val="0"/>
              <w:spacing w:line="240" w:lineRule="auto"/>
              <w:jc w:val="left"/>
              <w:textAlignment w:val="cente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pPr>
            <w: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t>1.吊车司机、信号工、电梯司机、机械操作人员等特殊作业人员持证上岗；超过2人及以上</w:t>
            </w:r>
          </w:p>
        </w:tc>
        <w:tc>
          <w:tcPr>
            <w:tcW w:w="1425"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2000（每人1000）</w:t>
            </w:r>
          </w:p>
        </w:tc>
        <w:tc>
          <w:tcPr>
            <w:tcW w:w="710"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vAlign w:val="center"/>
          </w:tcPr>
          <w:p>
            <w:pPr>
              <w:spacing w:line="240" w:lineRule="auto"/>
              <w:jc w:val="center"/>
              <w:rPr>
                <w:rFonts w:hint="default" w:ascii="楷体" w:hAnsi="楷体" w:eastAsia="楷体" w:cs="楷体"/>
                <w:b w:val="0"/>
                <w:bCs w:val="0"/>
                <w:color w:val="auto"/>
                <w:sz w:val="24"/>
                <w:szCs w:val="24"/>
                <w:vertAlign w:val="baseline"/>
                <w:lang w:val="en-US" w:eastAsia="zh-CN"/>
              </w:rPr>
            </w:pPr>
            <w:r>
              <w:rPr>
                <w:rFonts w:hint="eastAsia" w:ascii="楷体" w:hAnsi="楷体" w:eastAsia="楷体" w:cs="楷体"/>
                <w:b w:val="0"/>
                <w:bCs w:val="0"/>
                <w:color w:val="auto"/>
                <w:sz w:val="24"/>
                <w:szCs w:val="24"/>
                <w:vertAlign w:val="baseline"/>
                <w:lang w:val="en-US" w:eastAsia="zh-CN"/>
              </w:rPr>
              <w:t>27</w:t>
            </w:r>
          </w:p>
        </w:tc>
        <w:tc>
          <w:tcPr>
            <w:tcW w:w="1309" w:type="dxa"/>
            <w:vMerge w:val="continue"/>
            <w:vAlign w:val="center"/>
          </w:tcPr>
          <w:p>
            <w:pPr>
              <w:spacing w:line="240" w:lineRule="auto"/>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p>
        </w:tc>
        <w:tc>
          <w:tcPr>
            <w:tcW w:w="5547" w:type="dxa"/>
            <w:vAlign w:val="center"/>
          </w:tcPr>
          <w:p>
            <w:pPr>
              <w:numPr>
                <w:ilvl w:val="0"/>
                <w:numId w:val="0"/>
              </w:numPr>
              <w:spacing w:line="240" w:lineRule="auto"/>
              <w:jc w:val="left"/>
              <w:rPr>
                <w:rFonts w:hint="eastAsia"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1.</w:t>
            </w:r>
            <w:r>
              <w:rPr>
                <w:rFonts w:hint="eastAsia" w:ascii="楷体" w:hAnsi="楷体" w:eastAsia="楷体" w:cs="楷体"/>
                <w:b w:val="0"/>
                <w:bCs w:val="0"/>
                <w:color w:val="000000" w:themeColor="text1"/>
                <w:sz w:val="24"/>
                <w:szCs w:val="24"/>
                <w14:textFill>
                  <w14:solidFill>
                    <w14:schemeClr w14:val="tx1"/>
                  </w14:solidFill>
                </w14:textFill>
              </w:rPr>
              <w:t>塔吊无起重限位、力矩限位、高度限位装置、回转限位器</w:t>
            </w:r>
            <w:r>
              <w:rPr>
                <w:rFonts w:hint="eastAsia" w:ascii="楷体" w:hAnsi="楷体" w:eastAsia="楷体" w:cs="楷体"/>
                <w:b w:val="0"/>
                <w:bCs w:val="0"/>
                <w:color w:val="000000" w:themeColor="text1"/>
                <w:sz w:val="24"/>
                <w:szCs w:val="24"/>
                <w:lang w:eastAsia="zh-CN"/>
                <w14:textFill>
                  <w14:solidFill>
                    <w14:schemeClr w14:val="tx1"/>
                  </w14:solidFill>
                </w14:textFill>
              </w:rPr>
              <w:t>等安全保护装置</w:t>
            </w:r>
            <w:r>
              <w:rPr>
                <w:rFonts w:hint="eastAsia" w:ascii="楷体" w:hAnsi="楷体" w:eastAsia="楷体" w:cs="楷体"/>
                <w:b w:val="0"/>
                <w:bCs w:val="0"/>
                <w:color w:val="000000" w:themeColor="text1"/>
                <w:sz w:val="24"/>
                <w:szCs w:val="24"/>
                <w:lang w:val="en-US" w:eastAsia="zh-CN"/>
                <w14:textFill>
                  <w14:solidFill>
                    <w14:schemeClr w14:val="tx1"/>
                  </w14:solidFill>
                </w14:textFill>
              </w:rPr>
              <w:t>；2.</w:t>
            </w:r>
            <w:r>
              <w:rPr>
                <w:rFonts w:hint="eastAsia" w:ascii="楷体" w:hAnsi="楷体" w:eastAsia="楷体" w:cs="楷体"/>
                <w:b w:val="0"/>
                <w:bCs w:val="0"/>
                <w:color w:val="000000" w:themeColor="text1"/>
                <w:sz w:val="24"/>
                <w:szCs w:val="24"/>
                <w14:textFill>
                  <w14:solidFill>
                    <w14:schemeClr w14:val="tx1"/>
                  </w14:solidFill>
                </w14:textFill>
              </w:rPr>
              <w:t>无避雷接地装置</w:t>
            </w:r>
            <w:r>
              <w:rPr>
                <w:rFonts w:hint="eastAsia" w:ascii="楷体" w:hAnsi="楷体" w:eastAsia="楷体" w:cs="楷体"/>
                <w:b w:val="0"/>
                <w:bCs w:val="0"/>
                <w:color w:val="000000" w:themeColor="text1"/>
                <w:sz w:val="24"/>
                <w:szCs w:val="24"/>
                <w:lang w:val="en-US" w:eastAsia="zh-CN"/>
                <w14:textFill>
                  <w14:solidFill>
                    <w14:schemeClr w14:val="tx1"/>
                  </w14:solidFill>
                </w14:textFill>
              </w:rPr>
              <w:t>；</w:t>
            </w:r>
          </w:p>
          <w:p>
            <w:pPr>
              <w:keepNext w:val="0"/>
              <w:keepLines w:val="0"/>
              <w:widowControl/>
              <w:suppressLineNumbers w:val="0"/>
              <w:spacing w:line="240" w:lineRule="auto"/>
              <w:jc w:val="left"/>
              <w:textAlignment w:val="cente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合2处及以上</w:t>
            </w:r>
          </w:p>
        </w:tc>
        <w:tc>
          <w:tcPr>
            <w:tcW w:w="1425"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2000（每处1000）</w:t>
            </w:r>
          </w:p>
        </w:tc>
        <w:tc>
          <w:tcPr>
            <w:tcW w:w="710"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vAlign w:val="center"/>
          </w:tcPr>
          <w:p>
            <w:pPr>
              <w:spacing w:line="240" w:lineRule="auto"/>
              <w:jc w:val="center"/>
              <w:rPr>
                <w:rFonts w:hint="default" w:ascii="楷体" w:hAnsi="楷体" w:eastAsia="楷体" w:cs="楷体"/>
                <w:b w:val="0"/>
                <w:bCs w:val="0"/>
                <w:color w:val="auto"/>
                <w:sz w:val="24"/>
                <w:szCs w:val="24"/>
                <w:vertAlign w:val="baseline"/>
                <w:lang w:val="en-US" w:eastAsia="zh-CN"/>
              </w:rPr>
            </w:pPr>
            <w:r>
              <w:rPr>
                <w:rFonts w:hint="eastAsia" w:ascii="楷体" w:hAnsi="楷体" w:eastAsia="楷体" w:cs="楷体"/>
                <w:b w:val="0"/>
                <w:bCs w:val="0"/>
                <w:color w:val="auto"/>
                <w:sz w:val="24"/>
                <w:szCs w:val="24"/>
                <w:vertAlign w:val="baseline"/>
                <w:lang w:val="en-US" w:eastAsia="zh-CN"/>
              </w:rPr>
              <w:t>28</w:t>
            </w:r>
          </w:p>
        </w:tc>
        <w:tc>
          <w:tcPr>
            <w:tcW w:w="1309" w:type="dxa"/>
            <w:vMerge w:val="continue"/>
            <w:vAlign w:val="center"/>
          </w:tcPr>
          <w:p>
            <w:pPr>
              <w:spacing w:line="240" w:lineRule="auto"/>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p>
        </w:tc>
        <w:tc>
          <w:tcPr>
            <w:tcW w:w="5547" w:type="dxa"/>
            <w:vAlign w:val="center"/>
          </w:tcPr>
          <w:p>
            <w:pPr>
              <w:pStyle w:val="8"/>
              <w:spacing w:line="240" w:lineRule="auto"/>
              <w:ind w:left="0" w:leftChars="0" w:firstLine="0" w:firstLineChars="0"/>
              <w:jc w:val="left"/>
              <w:rPr>
                <w:rFonts w:hint="eastAsia"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1.</w:t>
            </w:r>
            <w:r>
              <w:rPr>
                <w:rFonts w:hint="eastAsia" w:ascii="楷体" w:hAnsi="楷体" w:eastAsia="楷体" w:cs="楷体"/>
                <w:b w:val="0"/>
                <w:bCs w:val="0"/>
                <w:color w:val="000000" w:themeColor="text1"/>
                <w:sz w:val="24"/>
                <w:szCs w:val="24"/>
                <w14:textFill>
                  <w14:solidFill>
                    <w14:schemeClr w14:val="tx1"/>
                  </w14:solidFill>
                </w14:textFill>
              </w:rPr>
              <w:t>塔吊验收合格证书缺失，塔吊未设置防攀爬措施，不满足规范要求；超过</w:t>
            </w:r>
            <w:r>
              <w:rPr>
                <w:rFonts w:hint="eastAsia" w:ascii="楷体" w:hAnsi="楷体" w:eastAsia="楷体" w:cs="楷体"/>
                <w:b w:val="0"/>
                <w:bCs w:val="0"/>
                <w:color w:val="000000" w:themeColor="text1"/>
                <w:sz w:val="24"/>
                <w:szCs w:val="24"/>
                <w:lang w:val="en-US" w:eastAsia="zh-CN"/>
                <w14:textFill>
                  <w14:solidFill>
                    <w14:schemeClr w14:val="tx1"/>
                  </w14:solidFill>
                </w14:textFill>
              </w:rPr>
              <w:t>2</w:t>
            </w:r>
            <w:r>
              <w:rPr>
                <w:rFonts w:hint="eastAsia" w:ascii="楷体" w:hAnsi="楷体" w:eastAsia="楷体" w:cs="楷体"/>
                <w:b w:val="0"/>
                <w:bCs w:val="0"/>
                <w:color w:val="000000" w:themeColor="text1"/>
                <w:sz w:val="24"/>
                <w:szCs w:val="24"/>
                <w14:textFill>
                  <w14:solidFill>
                    <w14:schemeClr w14:val="tx1"/>
                  </w14:solidFill>
                </w14:textFill>
              </w:rPr>
              <w:t>处及以上</w:t>
            </w:r>
          </w:p>
        </w:tc>
        <w:tc>
          <w:tcPr>
            <w:tcW w:w="1425"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2000（每处1000）</w:t>
            </w:r>
          </w:p>
        </w:tc>
        <w:tc>
          <w:tcPr>
            <w:tcW w:w="710"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553" w:type="dxa"/>
            <w:vAlign w:val="center"/>
          </w:tcPr>
          <w:p>
            <w:pPr>
              <w:spacing w:line="240" w:lineRule="auto"/>
              <w:jc w:val="center"/>
              <w:rPr>
                <w:rFonts w:hint="default" w:ascii="楷体" w:hAnsi="楷体" w:eastAsia="楷体" w:cs="楷体"/>
                <w:b w:val="0"/>
                <w:bCs w:val="0"/>
                <w:color w:val="auto"/>
                <w:sz w:val="24"/>
                <w:szCs w:val="24"/>
                <w:vertAlign w:val="baseline"/>
                <w:lang w:val="en-US" w:eastAsia="zh-CN"/>
              </w:rPr>
            </w:pPr>
            <w:r>
              <w:rPr>
                <w:rFonts w:hint="eastAsia" w:ascii="楷体" w:hAnsi="楷体" w:eastAsia="楷体" w:cs="楷体"/>
                <w:b w:val="0"/>
                <w:bCs w:val="0"/>
                <w:color w:val="auto"/>
                <w:sz w:val="24"/>
                <w:szCs w:val="24"/>
                <w:vertAlign w:val="baseline"/>
                <w:lang w:val="en-US" w:eastAsia="zh-CN"/>
              </w:rPr>
              <w:t>29</w:t>
            </w:r>
          </w:p>
        </w:tc>
        <w:tc>
          <w:tcPr>
            <w:tcW w:w="1309" w:type="dxa"/>
            <w:vMerge w:val="continue"/>
            <w:vAlign w:val="center"/>
          </w:tcPr>
          <w:p>
            <w:pPr>
              <w:spacing w:line="240" w:lineRule="auto"/>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p>
        </w:tc>
        <w:tc>
          <w:tcPr>
            <w:tcW w:w="5547" w:type="dxa"/>
            <w:vAlign w:val="center"/>
          </w:tcPr>
          <w:p>
            <w:pPr>
              <w:pStyle w:val="8"/>
              <w:spacing w:line="240" w:lineRule="auto"/>
              <w:ind w:left="0" w:leftChars="0" w:firstLine="0" w:firstLineChars="0"/>
              <w:jc w:val="left"/>
              <w:rPr>
                <w:rFonts w:hint="eastAsia" w:ascii="楷体" w:hAnsi="楷体" w:eastAsia="楷体" w:cs="楷体"/>
                <w:b w:val="0"/>
                <w:bCs w:val="0"/>
                <w:color w:val="000000" w:themeColor="text1"/>
                <w:sz w:val="24"/>
                <w:szCs w:val="24"/>
                <w:vertAlign w:val="baseline"/>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1.塔吊</w:t>
            </w:r>
            <w:r>
              <w:rPr>
                <w:rFonts w:hint="eastAsia" w:ascii="楷体" w:hAnsi="楷体" w:eastAsia="楷体" w:cs="楷体"/>
                <w:b w:val="0"/>
                <w:bCs w:val="0"/>
                <w:color w:val="000000" w:themeColor="text1"/>
                <w:sz w:val="24"/>
                <w:szCs w:val="24"/>
                <w14:textFill>
                  <w14:solidFill>
                    <w14:schemeClr w14:val="tx1"/>
                  </w14:solidFill>
                </w14:textFill>
              </w:rPr>
              <w:t>起重设备主要受力构件使用非原厂或私自加工的产品代替， 钢丝绳达到报废标准未更换</w:t>
            </w:r>
          </w:p>
        </w:tc>
        <w:tc>
          <w:tcPr>
            <w:tcW w:w="1425"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w:t>
            </w:r>
          </w:p>
        </w:tc>
        <w:tc>
          <w:tcPr>
            <w:tcW w:w="710"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vAlign w:val="center"/>
          </w:tcPr>
          <w:p>
            <w:pPr>
              <w:spacing w:line="240" w:lineRule="auto"/>
              <w:jc w:val="center"/>
              <w:rPr>
                <w:rFonts w:hint="default" w:ascii="楷体" w:hAnsi="楷体" w:eastAsia="楷体" w:cs="楷体"/>
                <w:b w:val="0"/>
                <w:bCs w:val="0"/>
                <w:color w:val="auto"/>
                <w:sz w:val="24"/>
                <w:szCs w:val="24"/>
                <w:vertAlign w:val="baseline"/>
                <w:lang w:val="en-US" w:eastAsia="zh-CN"/>
              </w:rPr>
            </w:pPr>
            <w:r>
              <w:rPr>
                <w:rFonts w:hint="eastAsia" w:ascii="楷体" w:hAnsi="楷体" w:eastAsia="楷体" w:cs="楷体"/>
                <w:b w:val="0"/>
                <w:bCs w:val="0"/>
                <w:color w:val="auto"/>
                <w:sz w:val="24"/>
                <w:szCs w:val="24"/>
                <w:vertAlign w:val="baseline"/>
                <w:lang w:val="en-US" w:eastAsia="zh-CN"/>
              </w:rPr>
              <w:t>30</w:t>
            </w:r>
          </w:p>
        </w:tc>
        <w:tc>
          <w:tcPr>
            <w:tcW w:w="1309" w:type="dxa"/>
            <w:vMerge w:val="continue"/>
            <w:vAlign w:val="center"/>
          </w:tcPr>
          <w:p>
            <w:pPr>
              <w:spacing w:line="240" w:lineRule="auto"/>
              <w:rPr>
                <w:rFonts w:hint="eastAsia" w:ascii="楷体" w:hAnsi="楷体" w:eastAsia="楷体" w:cs="楷体"/>
                <w:b w:val="0"/>
                <w:bCs w:val="0"/>
                <w:color w:val="000000" w:themeColor="text1"/>
                <w:sz w:val="24"/>
                <w:szCs w:val="24"/>
                <w:vertAlign w:val="baseline"/>
                <w14:textFill>
                  <w14:solidFill>
                    <w14:schemeClr w14:val="tx1"/>
                  </w14:solidFill>
                </w14:textFill>
              </w:rPr>
            </w:pPr>
          </w:p>
        </w:tc>
        <w:tc>
          <w:tcPr>
            <w:tcW w:w="5547" w:type="dxa"/>
            <w:vAlign w:val="center"/>
          </w:tcPr>
          <w:p>
            <w:pPr>
              <w:numPr>
                <w:ilvl w:val="0"/>
                <w:numId w:val="0"/>
              </w:numPr>
              <w:spacing w:line="240" w:lineRule="auto"/>
              <w:jc w:val="left"/>
              <w:rPr>
                <w:rFonts w:hint="eastAsia" w:ascii="楷体" w:hAnsi="楷体" w:eastAsia="楷体" w:cs="楷体"/>
                <w:b w:val="0"/>
                <w:bCs w:val="0"/>
                <w:color w:val="000000" w:themeColor="text1"/>
                <w:sz w:val="24"/>
                <w:szCs w:val="24"/>
                <w14:textFill>
                  <w14:solidFill>
                    <w14:schemeClr w14:val="tx1"/>
                  </w14:solidFill>
                </w14:textFill>
              </w:rPr>
            </w:pPr>
            <w:r>
              <w:rPr>
                <w:rFonts w:hint="eastAsia" w:ascii="楷体" w:hAnsi="楷体" w:eastAsia="楷体" w:cs="楷体"/>
                <w:b w:val="0"/>
                <w:bCs w:val="0"/>
                <w:color w:val="000000" w:themeColor="text1"/>
                <w:sz w:val="24"/>
                <w:szCs w:val="24"/>
                <w14:textFill>
                  <w14:solidFill>
                    <w14:schemeClr w14:val="tx1"/>
                  </w14:solidFill>
                </w14:textFill>
              </w:rPr>
              <w:t>施工电梯：</w:t>
            </w:r>
            <w:r>
              <w:rPr>
                <w:rFonts w:hint="eastAsia" w:ascii="楷体" w:hAnsi="楷体" w:eastAsia="楷体" w:cs="楷体"/>
                <w:b w:val="0"/>
                <w:bCs w:val="0"/>
                <w:color w:val="000000" w:themeColor="text1"/>
                <w:sz w:val="24"/>
                <w:szCs w:val="24"/>
                <w:lang w:val="en-US" w:eastAsia="zh-CN"/>
                <w14:textFill>
                  <w14:solidFill>
                    <w14:schemeClr w14:val="tx1"/>
                  </w14:solidFill>
                </w14:textFill>
              </w:rPr>
              <w:t>1.</w:t>
            </w:r>
            <w:r>
              <w:rPr>
                <w:rFonts w:hint="eastAsia" w:ascii="楷体" w:hAnsi="楷体" w:eastAsia="楷体" w:cs="楷体"/>
                <w:b w:val="0"/>
                <w:bCs w:val="0"/>
                <w:color w:val="000000" w:themeColor="text1"/>
                <w:sz w:val="24"/>
                <w:szCs w:val="24"/>
                <w14:textFill>
                  <w14:solidFill>
                    <w14:schemeClr w14:val="tx1"/>
                  </w14:solidFill>
                </w14:textFill>
              </w:rPr>
              <w:t>年审记录齐全有效；</w:t>
            </w:r>
            <w:r>
              <w:rPr>
                <w:rFonts w:hint="eastAsia" w:ascii="楷体" w:hAnsi="楷体" w:eastAsia="楷体" w:cs="楷体"/>
                <w:b w:val="0"/>
                <w:bCs w:val="0"/>
                <w:color w:val="000000" w:themeColor="text1"/>
                <w:sz w:val="24"/>
                <w:szCs w:val="24"/>
                <w:lang w:val="en-US" w:eastAsia="zh-CN"/>
                <w14:textFill>
                  <w14:solidFill>
                    <w14:schemeClr w14:val="tx1"/>
                  </w14:solidFill>
                </w14:textFill>
              </w:rPr>
              <w:t xml:space="preserve"> 2.司机离岗未关门上锁及断电</w:t>
            </w:r>
          </w:p>
          <w:p>
            <w:pPr>
              <w:keepNext w:val="0"/>
              <w:keepLines w:val="0"/>
              <w:widowControl/>
              <w:numPr>
                <w:ilvl w:val="0"/>
                <w:numId w:val="0"/>
              </w:numPr>
              <w:suppressLineNumbers w:val="0"/>
              <w:spacing w:line="240" w:lineRule="auto"/>
              <w:jc w:val="left"/>
              <w:textAlignment w:val="cente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合2</w:t>
            </w:r>
            <w:r>
              <w:rPr>
                <w:rFonts w:hint="eastAsia" w:ascii="楷体" w:hAnsi="楷体" w:eastAsia="楷体" w:cs="楷体"/>
                <w:b w:val="0"/>
                <w:bCs w:val="0"/>
                <w:color w:val="000000" w:themeColor="text1"/>
                <w:sz w:val="24"/>
                <w:szCs w:val="24"/>
                <w14:textFill>
                  <w14:solidFill>
                    <w14:schemeClr w14:val="tx1"/>
                  </w14:solidFill>
                </w14:textFill>
              </w:rPr>
              <w:t>处及以上</w:t>
            </w:r>
          </w:p>
        </w:tc>
        <w:tc>
          <w:tcPr>
            <w:tcW w:w="1425"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2000（每处1000）</w:t>
            </w:r>
          </w:p>
        </w:tc>
        <w:tc>
          <w:tcPr>
            <w:tcW w:w="710"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vAlign w:val="center"/>
          </w:tcPr>
          <w:p>
            <w:pPr>
              <w:spacing w:line="240" w:lineRule="auto"/>
              <w:jc w:val="center"/>
              <w:rPr>
                <w:rFonts w:hint="default" w:ascii="楷体" w:hAnsi="楷体" w:eastAsia="楷体" w:cs="楷体"/>
                <w:b w:val="0"/>
                <w:bCs w:val="0"/>
                <w:color w:val="auto"/>
                <w:sz w:val="24"/>
                <w:szCs w:val="24"/>
                <w:vertAlign w:val="baseline"/>
                <w:lang w:val="en-US" w:eastAsia="zh-CN"/>
              </w:rPr>
            </w:pPr>
            <w:r>
              <w:rPr>
                <w:rFonts w:hint="eastAsia" w:ascii="楷体" w:hAnsi="楷体" w:eastAsia="楷体" w:cs="楷体"/>
                <w:b w:val="0"/>
                <w:bCs w:val="0"/>
                <w:color w:val="auto"/>
                <w:sz w:val="24"/>
                <w:szCs w:val="24"/>
                <w:vertAlign w:val="baseline"/>
                <w:lang w:val="en-US" w:eastAsia="zh-CN"/>
              </w:rPr>
              <w:t>31</w:t>
            </w:r>
          </w:p>
        </w:tc>
        <w:tc>
          <w:tcPr>
            <w:tcW w:w="1309" w:type="dxa"/>
            <w:vMerge w:val="continue"/>
            <w:vAlign w:val="center"/>
          </w:tcPr>
          <w:p>
            <w:pPr>
              <w:spacing w:line="240" w:lineRule="auto"/>
              <w:rPr>
                <w:rFonts w:hint="eastAsia" w:ascii="楷体" w:hAnsi="楷体" w:eastAsia="楷体" w:cs="楷体"/>
                <w:b w:val="0"/>
                <w:bCs w:val="0"/>
                <w:color w:val="000000" w:themeColor="text1"/>
                <w:sz w:val="24"/>
                <w:szCs w:val="24"/>
                <w:vertAlign w:val="baseline"/>
                <w14:textFill>
                  <w14:solidFill>
                    <w14:schemeClr w14:val="tx1"/>
                  </w14:solidFill>
                </w14:textFill>
              </w:rPr>
            </w:pPr>
          </w:p>
        </w:tc>
        <w:tc>
          <w:tcPr>
            <w:tcW w:w="5547" w:type="dxa"/>
            <w:vAlign w:val="center"/>
          </w:tcPr>
          <w:p>
            <w:pPr>
              <w:keepNext w:val="0"/>
              <w:keepLines w:val="0"/>
              <w:widowControl/>
              <w:numPr>
                <w:ilvl w:val="0"/>
                <w:numId w:val="0"/>
              </w:numPr>
              <w:suppressLineNumbers w:val="0"/>
              <w:spacing w:line="240" w:lineRule="auto"/>
              <w:jc w:val="left"/>
              <w:textAlignment w:val="center"/>
              <w:rPr>
                <w:rFonts w:hint="eastAsia"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施工电梯：1.</w:t>
            </w:r>
            <w:r>
              <w:rPr>
                <w:rFonts w:hint="eastAsia" w:ascii="楷体" w:hAnsi="楷体" w:eastAsia="楷体" w:cs="楷体"/>
                <w:b w:val="0"/>
                <w:bCs w:val="0"/>
                <w:color w:val="000000" w:themeColor="text1"/>
                <w:sz w:val="24"/>
                <w:szCs w:val="24"/>
                <w14:textFill>
                  <w14:solidFill>
                    <w14:schemeClr w14:val="tx1"/>
                  </w14:solidFill>
                </w14:textFill>
              </w:rPr>
              <w:t>测试门限位器是否有效；</w:t>
            </w:r>
            <w:r>
              <w:rPr>
                <w:rFonts w:hint="eastAsia" w:ascii="楷体" w:hAnsi="楷体" w:eastAsia="楷体" w:cs="楷体"/>
                <w:b w:val="0"/>
                <w:bCs w:val="0"/>
                <w:color w:val="000000" w:themeColor="text1"/>
                <w:sz w:val="24"/>
                <w:szCs w:val="24"/>
                <w:lang w:val="en-US" w:eastAsia="zh-CN"/>
                <w14:textFill>
                  <w14:solidFill>
                    <w14:schemeClr w14:val="tx1"/>
                  </w14:solidFill>
                </w14:textFill>
              </w:rPr>
              <w:t>2.</w:t>
            </w:r>
            <w:r>
              <w:rPr>
                <w:rFonts w:hint="eastAsia" w:ascii="楷体" w:hAnsi="楷体" w:eastAsia="楷体" w:cs="楷体"/>
                <w:b w:val="0"/>
                <w:bCs w:val="0"/>
                <w:color w:val="000000" w:themeColor="text1"/>
                <w:sz w:val="24"/>
                <w:szCs w:val="24"/>
                <w14:textFill>
                  <w14:solidFill>
                    <w14:schemeClr w14:val="tx1"/>
                  </w14:solidFill>
                </w14:textFill>
              </w:rPr>
              <w:t>防坠器年检有效;</w:t>
            </w:r>
            <w:r>
              <w:rPr>
                <w:rFonts w:hint="eastAsia" w:ascii="楷体" w:hAnsi="楷体" w:eastAsia="楷体" w:cs="楷体"/>
                <w:b w:val="0"/>
                <w:bCs w:val="0"/>
                <w:color w:val="000000" w:themeColor="text1"/>
                <w:sz w:val="24"/>
                <w:szCs w:val="24"/>
                <w:lang w:val="en-US" w:eastAsia="zh-CN"/>
                <w14:textFill>
                  <w14:solidFill>
                    <w14:schemeClr w14:val="tx1"/>
                  </w14:solidFill>
                </w14:textFill>
              </w:rPr>
              <w:t>3.</w:t>
            </w:r>
            <w:r>
              <w:rPr>
                <w:rFonts w:hint="eastAsia" w:ascii="楷体" w:hAnsi="楷体" w:eastAsia="楷体" w:cs="楷体"/>
                <w:b w:val="0"/>
                <w:bCs w:val="0"/>
                <w:color w:val="000000" w:themeColor="text1"/>
                <w:sz w:val="24"/>
                <w:szCs w:val="24"/>
                <w14:textFill>
                  <w14:solidFill>
                    <w14:schemeClr w14:val="tx1"/>
                  </w14:solidFill>
                </w14:textFill>
              </w:rPr>
              <w:t>施工电梯未安装超载限制器或失效</w:t>
            </w:r>
            <w:r>
              <w:rPr>
                <w:rFonts w:hint="eastAsia" w:ascii="楷体" w:hAnsi="楷体" w:eastAsia="楷体" w:cs="楷体"/>
                <w:b w:val="0"/>
                <w:bCs w:val="0"/>
                <w:color w:val="000000" w:themeColor="text1"/>
                <w:sz w:val="24"/>
                <w:szCs w:val="24"/>
                <w:lang w:val="en-US" w:eastAsia="zh-CN"/>
                <w14:textFill>
                  <w14:solidFill>
                    <w14:schemeClr w14:val="tx1"/>
                  </w14:solidFill>
                </w14:textFill>
              </w:rPr>
              <w:t>；4.</w:t>
            </w:r>
            <w:r>
              <w:rPr>
                <w:rFonts w:hint="eastAsia" w:ascii="楷体" w:hAnsi="楷体" w:eastAsia="楷体" w:cs="楷体"/>
                <w:b w:val="0"/>
                <w:bCs w:val="0"/>
                <w:color w:val="000000" w:themeColor="text1"/>
                <w:sz w:val="24"/>
                <w:szCs w:val="24"/>
                <w14:textFill>
                  <w14:solidFill>
                    <w14:schemeClr w14:val="tx1"/>
                  </w14:solidFill>
                </w14:textFill>
              </w:rPr>
              <w:t>施工电梯上下行限位</w:t>
            </w:r>
            <w:r>
              <w:rPr>
                <w:rFonts w:hint="eastAsia" w:ascii="楷体" w:hAnsi="楷体" w:eastAsia="楷体" w:cs="楷体"/>
                <w:b w:val="0"/>
                <w:bCs w:val="0"/>
                <w:color w:val="000000" w:themeColor="text1"/>
                <w:sz w:val="24"/>
                <w:szCs w:val="24"/>
                <w:lang w:val="en-US" w:eastAsia="zh-CN"/>
                <w14:textFill>
                  <w14:solidFill>
                    <w14:schemeClr w14:val="tx1"/>
                  </w14:solidFill>
                </w14:textFill>
              </w:rPr>
              <w:t>；5.</w:t>
            </w:r>
            <w:r>
              <w:rPr>
                <w:rFonts w:hint="eastAsia" w:ascii="楷体" w:hAnsi="楷体" w:eastAsia="楷体" w:cs="楷体"/>
                <w:b w:val="0"/>
                <w:bCs w:val="0"/>
                <w:color w:val="000000" w:themeColor="text1"/>
                <w:sz w:val="24"/>
                <w:szCs w:val="24"/>
                <w14:textFill>
                  <w14:solidFill>
                    <w14:schemeClr w14:val="tx1"/>
                  </w14:solidFill>
                </w14:textFill>
              </w:rPr>
              <w:t>极限限位失效</w:t>
            </w:r>
            <w:r>
              <w:rPr>
                <w:rFonts w:hint="eastAsia" w:ascii="楷体" w:hAnsi="楷体" w:eastAsia="楷体" w:cs="楷体"/>
                <w:b w:val="0"/>
                <w:bCs w:val="0"/>
                <w:color w:val="000000" w:themeColor="text1"/>
                <w:sz w:val="24"/>
                <w:szCs w:val="24"/>
                <w:lang w:val="en-US" w:eastAsia="zh-CN"/>
                <w14:textFill>
                  <w14:solidFill>
                    <w14:schemeClr w14:val="tx1"/>
                  </w14:solidFill>
                </w14:textFill>
              </w:rPr>
              <w:t>；</w:t>
            </w:r>
          </w:p>
          <w:p>
            <w:pPr>
              <w:keepNext w:val="0"/>
              <w:keepLines w:val="0"/>
              <w:widowControl/>
              <w:numPr>
                <w:ilvl w:val="0"/>
                <w:numId w:val="0"/>
              </w:numPr>
              <w:suppressLineNumbers w:val="0"/>
              <w:spacing w:line="240" w:lineRule="auto"/>
              <w:jc w:val="left"/>
              <w:textAlignment w:val="center"/>
              <w:rPr>
                <w:rFonts w:hint="eastAsia"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合2</w:t>
            </w:r>
            <w:r>
              <w:rPr>
                <w:rFonts w:hint="eastAsia" w:ascii="楷体" w:hAnsi="楷体" w:eastAsia="楷体" w:cs="楷体"/>
                <w:b w:val="0"/>
                <w:bCs w:val="0"/>
                <w:color w:val="000000" w:themeColor="text1"/>
                <w:sz w:val="24"/>
                <w:szCs w:val="24"/>
                <w14:textFill>
                  <w14:solidFill>
                    <w14:schemeClr w14:val="tx1"/>
                  </w14:solidFill>
                </w14:textFill>
              </w:rPr>
              <w:t>处及以上</w:t>
            </w:r>
          </w:p>
        </w:tc>
        <w:tc>
          <w:tcPr>
            <w:tcW w:w="1425"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2000（每处1000）</w:t>
            </w:r>
          </w:p>
        </w:tc>
        <w:tc>
          <w:tcPr>
            <w:tcW w:w="710"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vAlign w:val="center"/>
          </w:tcPr>
          <w:p>
            <w:pPr>
              <w:spacing w:line="360" w:lineRule="auto"/>
              <w:jc w:val="center"/>
              <w:rPr>
                <w:rFonts w:hint="default" w:ascii="楷体" w:hAnsi="楷体" w:eastAsia="楷体" w:cs="楷体"/>
                <w:b w:val="0"/>
                <w:bCs w:val="0"/>
                <w:color w:val="auto"/>
                <w:sz w:val="24"/>
                <w:szCs w:val="24"/>
                <w:vertAlign w:val="baseline"/>
                <w:lang w:val="en-US" w:eastAsia="zh-CN"/>
              </w:rPr>
            </w:pPr>
            <w:r>
              <w:rPr>
                <w:rFonts w:hint="eastAsia" w:ascii="楷体" w:hAnsi="楷体" w:eastAsia="楷体" w:cs="楷体"/>
                <w:b w:val="0"/>
                <w:bCs w:val="0"/>
                <w:color w:val="auto"/>
                <w:sz w:val="24"/>
                <w:szCs w:val="24"/>
                <w:vertAlign w:val="baseline"/>
                <w:lang w:val="en-US" w:eastAsia="zh-CN"/>
              </w:rPr>
              <w:t>32</w:t>
            </w:r>
          </w:p>
        </w:tc>
        <w:tc>
          <w:tcPr>
            <w:tcW w:w="1309" w:type="dxa"/>
            <w:vMerge w:val="continue"/>
            <w:vAlign w:val="center"/>
          </w:tcPr>
          <w:p>
            <w:pPr>
              <w:spacing w:line="360" w:lineRule="auto"/>
              <w:rPr>
                <w:rFonts w:hint="eastAsia" w:ascii="楷体" w:hAnsi="楷体" w:eastAsia="楷体" w:cs="楷体"/>
                <w:b w:val="0"/>
                <w:bCs w:val="0"/>
                <w:color w:val="000000" w:themeColor="text1"/>
                <w:sz w:val="24"/>
                <w:szCs w:val="24"/>
                <w:vertAlign w:val="baseline"/>
                <w14:textFill>
                  <w14:solidFill>
                    <w14:schemeClr w14:val="tx1"/>
                  </w14:solidFill>
                </w14:textFill>
              </w:rPr>
            </w:pPr>
          </w:p>
        </w:tc>
        <w:tc>
          <w:tcPr>
            <w:tcW w:w="5547" w:type="dxa"/>
            <w:vAlign w:val="center"/>
          </w:tcPr>
          <w:p>
            <w:pPr>
              <w:keepNext w:val="0"/>
              <w:keepLines w:val="0"/>
              <w:widowControl/>
              <w:numPr>
                <w:ilvl w:val="0"/>
                <w:numId w:val="0"/>
              </w:numPr>
              <w:suppressLineNumbers w:val="0"/>
              <w:jc w:val="left"/>
              <w:textAlignment w:val="center"/>
              <w:rPr>
                <w:rFonts w:hint="eastAsia"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施工电梯：1.螺栓缺失或无螺帽；2.防冲顶节没有安装</w:t>
            </w:r>
            <w:r>
              <w:rPr>
                <w:rFonts w:hint="eastAsia" w:ascii="楷体" w:hAnsi="楷体" w:eastAsia="楷体" w:cs="楷体"/>
                <w:b w:val="0"/>
                <w:bCs w:val="0"/>
                <w:color w:val="000000" w:themeColor="text1"/>
                <w:sz w:val="24"/>
                <w:szCs w:val="24"/>
                <w14:textFill>
                  <w14:solidFill>
                    <w14:schemeClr w14:val="tx1"/>
                  </w14:solidFill>
                </w14:textFill>
              </w:rPr>
              <w:t>；</w:t>
            </w:r>
            <w:r>
              <w:rPr>
                <w:rFonts w:hint="eastAsia" w:ascii="楷体" w:hAnsi="楷体" w:eastAsia="楷体" w:cs="楷体"/>
                <w:b w:val="0"/>
                <w:bCs w:val="0"/>
                <w:color w:val="000000" w:themeColor="text1"/>
                <w:sz w:val="24"/>
                <w:szCs w:val="24"/>
                <w:lang w:val="en-US" w:eastAsia="zh-CN"/>
                <w14:textFill>
                  <w14:solidFill>
                    <w14:schemeClr w14:val="tx1"/>
                  </w14:solidFill>
                </w14:textFill>
              </w:rPr>
              <w:t>3.</w:t>
            </w:r>
            <w:r>
              <w:rPr>
                <w:rFonts w:hint="eastAsia" w:ascii="楷体" w:hAnsi="楷体" w:eastAsia="楷体" w:cs="楷体"/>
                <w:b w:val="0"/>
                <w:bCs w:val="0"/>
                <w:color w:val="000000" w:themeColor="text1"/>
                <w:sz w:val="24"/>
                <w:szCs w:val="24"/>
                <w14:textFill>
                  <w14:solidFill>
                    <w14:schemeClr w14:val="tx1"/>
                  </w14:solidFill>
                </w14:textFill>
              </w:rPr>
              <w:t>楼层层门未关闭</w:t>
            </w:r>
            <w:r>
              <w:rPr>
                <w:rFonts w:hint="eastAsia" w:ascii="楷体" w:hAnsi="楷体" w:eastAsia="楷体" w:cs="楷体"/>
                <w:b w:val="0"/>
                <w:bCs w:val="0"/>
                <w:color w:val="000000" w:themeColor="text1"/>
                <w:sz w:val="24"/>
                <w:szCs w:val="24"/>
                <w:lang w:val="en-US" w:eastAsia="zh-CN"/>
                <w14:textFill>
                  <w14:solidFill>
                    <w14:schemeClr w14:val="tx1"/>
                  </w14:solidFill>
                </w14:textFill>
              </w:rPr>
              <w:t xml:space="preserve"> </w:t>
            </w:r>
          </w:p>
          <w:p>
            <w:pPr>
              <w:keepNext w:val="0"/>
              <w:keepLines w:val="0"/>
              <w:widowControl/>
              <w:numPr>
                <w:ilvl w:val="0"/>
                <w:numId w:val="0"/>
              </w:numPr>
              <w:suppressLineNumbers w:val="0"/>
              <w:jc w:val="left"/>
              <w:textAlignment w:val="center"/>
              <w:rPr>
                <w:rFonts w:hint="eastAsia"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合2</w:t>
            </w:r>
            <w:r>
              <w:rPr>
                <w:rFonts w:hint="eastAsia" w:ascii="楷体" w:hAnsi="楷体" w:eastAsia="楷体" w:cs="楷体"/>
                <w:b w:val="0"/>
                <w:bCs w:val="0"/>
                <w:color w:val="000000" w:themeColor="text1"/>
                <w:sz w:val="24"/>
                <w:szCs w:val="24"/>
                <w14:textFill>
                  <w14:solidFill>
                    <w14:schemeClr w14:val="tx1"/>
                  </w14:solidFill>
                </w14:textFill>
              </w:rPr>
              <w:t>处及以上</w:t>
            </w:r>
          </w:p>
        </w:tc>
        <w:tc>
          <w:tcPr>
            <w:tcW w:w="1425" w:type="dxa"/>
            <w:vAlign w:val="center"/>
          </w:tcPr>
          <w:p>
            <w:pPr>
              <w:spacing w:line="36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2000（每处1000）</w:t>
            </w:r>
          </w:p>
        </w:tc>
        <w:tc>
          <w:tcPr>
            <w:tcW w:w="710" w:type="dxa"/>
            <w:vAlign w:val="center"/>
          </w:tcPr>
          <w:p>
            <w:pPr>
              <w:spacing w:line="36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exact"/>
        </w:trPr>
        <w:tc>
          <w:tcPr>
            <w:tcW w:w="553" w:type="dxa"/>
            <w:vAlign w:val="center"/>
          </w:tcPr>
          <w:p>
            <w:pPr>
              <w:spacing w:line="360" w:lineRule="auto"/>
              <w:jc w:val="center"/>
              <w:rPr>
                <w:rFonts w:hint="default" w:ascii="楷体" w:hAnsi="楷体" w:eastAsia="楷体" w:cs="楷体"/>
                <w:b w:val="0"/>
                <w:bCs w:val="0"/>
                <w:color w:val="auto"/>
                <w:sz w:val="24"/>
                <w:szCs w:val="24"/>
                <w:vertAlign w:val="baseline"/>
                <w:lang w:val="en-US" w:eastAsia="zh-CN"/>
              </w:rPr>
            </w:pPr>
            <w:r>
              <w:rPr>
                <w:rFonts w:hint="eastAsia" w:ascii="楷体" w:hAnsi="楷体" w:eastAsia="楷体" w:cs="楷体"/>
                <w:b w:val="0"/>
                <w:bCs w:val="0"/>
                <w:color w:val="auto"/>
                <w:sz w:val="24"/>
                <w:szCs w:val="24"/>
                <w:vertAlign w:val="baseline"/>
                <w:lang w:val="en-US" w:eastAsia="zh-CN"/>
              </w:rPr>
              <w:t>33</w:t>
            </w:r>
          </w:p>
        </w:tc>
        <w:tc>
          <w:tcPr>
            <w:tcW w:w="1309" w:type="dxa"/>
            <w:vMerge w:val="continue"/>
            <w:vAlign w:val="center"/>
          </w:tcPr>
          <w:p>
            <w:pPr>
              <w:spacing w:line="360" w:lineRule="auto"/>
              <w:rPr>
                <w:rFonts w:hint="eastAsia" w:ascii="楷体" w:hAnsi="楷体" w:eastAsia="楷体" w:cs="楷体"/>
                <w:b w:val="0"/>
                <w:bCs w:val="0"/>
                <w:color w:val="000000" w:themeColor="text1"/>
                <w:sz w:val="24"/>
                <w:szCs w:val="24"/>
                <w:vertAlign w:val="baseline"/>
                <w14:textFill>
                  <w14:solidFill>
                    <w14:schemeClr w14:val="tx1"/>
                  </w14:solidFill>
                </w14:textFill>
              </w:rPr>
            </w:pPr>
          </w:p>
        </w:tc>
        <w:tc>
          <w:tcPr>
            <w:tcW w:w="5547" w:type="dxa"/>
            <w:vAlign w:val="center"/>
          </w:tcPr>
          <w:p>
            <w:pPr>
              <w:keepNext w:val="0"/>
              <w:keepLines w:val="0"/>
              <w:widowControl/>
              <w:suppressLineNumbers w:val="0"/>
              <w:jc w:val="left"/>
              <w:textAlignment w:val="center"/>
              <w:rPr>
                <w:rFonts w:hint="eastAsia"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1.</w:t>
            </w:r>
            <w:r>
              <w:rPr>
                <w:rFonts w:hint="eastAsia" w:ascii="楷体" w:hAnsi="楷体" w:eastAsia="楷体" w:cs="楷体"/>
                <w:b w:val="0"/>
                <w:bCs w:val="0"/>
                <w:color w:val="000000" w:themeColor="text1"/>
                <w:sz w:val="24"/>
                <w:szCs w:val="24"/>
                <w14:textFill>
                  <w14:solidFill>
                    <w14:schemeClr w14:val="tx1"/>
                  </w14:solidFill>
                </w14:textFill>
              </w:rPr>
              <w:t>砼布料机使用无专项方案、无固定措施</w:t>
            </w:r>
            <w:r>
              <w:rPr>
                <w:rFonts w:hint="eastAsia" w:ascii="楷体" w:hAnsi="楷体" w:eastAsia="楷体" w:cs="楷体"/>
                <w:b w:val="0"/>
                <w:bCs w:val="0"/>
                <w:color w:val="000000" w:themeColor="text1"/>
                <w:sz w:val="24"/>
                <w:szCs w:val="24"/>
                <w:lang w:val="en-US" w:eastAsia="zh-CN"/>
                <w14:textFill>
                  <w14:solidFill>
                    <w14:schemeClr w14:val="tx1"/>
                  </w14:solidFill>
                </w14:textFill>
              </w:rPr>
              <w:t>；</w:t>
            </w:r>
          </w:p>
          <w:p>
            <w:pPr>
              <w:keepNext w:val="0"/>
              <w:keepLines w:val="0"/>
              <w:widowControl/>
              <w:suppressLineNumbers w:val="0"/>
              <w:jc w:val="left"/>
              <w:textAlignment w:val="center"/>
              <w:rPr>
                <w:rFonts w:hint="eastAsia"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t>2.圆盘锯无防护罩；合2个及以上</w:t>
            </w:r>
          </w:p>
        </w:tc>
        <w:tc>
          <w:tcPr>
            <w:tcW w:w="1425"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2000（每个1000）</w:t>
            </w:r>
          </w:p>
        </w:tc>
        <w:tc>
          <w:tcPr>
            <w:tcW w:w="710" w:type="dxa"/>
            <w:vAlign w:val="center"/>
          </w:tcPr>
          <w:p>
            <w:pPr>
              <w:spacing w:line="36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tcPr>
          <w:p>
            <w:pPr>
              <w:spacing w:line="360" w:lineRule="auto"/>
              <w:jc w:val="center"/>
              <w:rPr>
                <w:rFonts w:hint="default" w:ascii="楷体" w:hAnsi="楷体" w:eastAsia="楷体" w:cs="楷体"/>
                <w:b w:val="0"/>
                <w:bCs w:val="0"/>
                <w:color w:val="auto"/>
                <w:sz w:val="24"/>
                <w:szCs w:val="24"/>
                <w:vertAlign w:val="baseline"/>
                <w:lang w:val="en-US" w:eastAsia="zh-CN"/>
              </w:rPr>
            </w:pPr>
            <w:r>
              <w:rPr>
                <w:rFonts w:hint="eastAsia" w:ascii="楷体" w:hAnsi="楷体" w:eastAsia="楷体" w:cs="楷体"/>
                <w:b w:val="0"/>
                <w:bCs w:val="0"/>
                <w:color w:val="auto"/>
                <w:sz w:val="24"/>
                <w:szCs w:val="24"/>
                <w:vertAlign w:val="baseline"/>
                <w:lang w:val="en-US" w:eastAsia="zh-CN"/>
              </w:rPr>
              <w:t>34</w:t>
            </w:r>
          </w:p>
        </w:tc>
        <w:tc>
          <w:tcPr>
            <w:tcW w:w="1309" w:type="dxa"/>
            <w:vMerge w:val="continue"/>
          </w:tcPr>
          <w:p>
            <w:pPr>
              <w:spacing w:line="360" w:lineRule="auto"/>
              <w:rPr>
                <w:rFonts w:hint="eastAsia" w:ascii="楷体" w:hAnsi="楷体" w:eastAsia="楷体" w:cs="楷体"/>
                <w:b w:val="0"/>
                <w:bCs w:val="0"/>
                <w:color w:val="000000" w:themeColor="text1"/>
                <w:sz w:val="24"/>
                <w:szCs w:val="24"/>
                <w:vertAlign w:val="baseline"/>
                <w14:textFill>
                  <w14:solidFill>
                    <w14:schemeClr w14:val="tx1"/>
                  </w14:solidFill>
                </w14:textFill>
              </w:rPr>
            </w:pPr>
          </w:p>
        </w:tc>
        <w:tc>
          <w:tcPr>
            <w:tcW w:w="5547" w:type="dxa"/>
            <w:vAlign w:val="center"/>
          </w:tcPr>
          <w:p>
            <w:pPr>
              <w:keepNext w:val="0"/>
              <w:keepLines w:val="0"/>
              <w:widowControl/>
              <w:suppressLineNumbers w:val="0"/>
              <w:jc w:val="left"/>
              <w:textAlignment w:val="center"/>
              <w:rPr>
                <w:rFonts w:hint="eastAsia"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b w:val="0"/>
                <w:bCs w:val="0"/>
                <w:color w:val="000000" w:themeColor="text1"/>
                <w:sz w:val="24"/>
                <w:szCs w:val="24"/>
                <w14:textFill>
                  <w14:solidFill>
                    <w14:schemeClr w14:val="tx1"/>
                  </w14:solidFill>
                </w14:textFill>
              </w:rPr>
              <w:t>使用塔吊吊泵管布料管浇筑砼</w:t>
            </w:r>
          </w:p>
        </w:tc>
        <w:tc>
          <w:tcPr>
            <w:tcW w:w="1425"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w:t>
            </w:r>
          </w:p>
        </w:tc>
        <w:tc>
          <w:tcPr>
            <w:tcW w:w="710" w:type="dxa"/>
          </w:tcPr>
          <w:p>
            <w:pPr>
              <w:spacing w:line="36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vAlign w:val="center"/>
          </w:tcPr>
          <w:p>
            <w:pPr>
              <w:spacing w:line="360" w:lineRule="auto"/>
              <w:jc w:val="center"/>
              <w:rPr>
                <w:rFonts w:hint="default" w:ascii="楷体" w:hAnsi="楷体" w:eastAsia="楷体" w:cs="楷体"/>
                <w:b w:val="0"/>
                <w:bCs w:val="0"/>
                <w:color w:val="auto"/>
                <w:sz w:val="24"/>
                <w:szCs w:val="24"/>
                <w:vertAlign w:val="baseline"/>
                <w:lang w:val="en-US" w:eastAsia="zh-CN"/>
              </w:rPr>
            </w:pPr>
            <w:r>
              <w:rPr>
                <w:rFonts w:hint="eastAsia" w:ascii="楷体" w:hAnsi="楷体" w:eastAsia="楷体" w:cs="楷体"/>
                <w:b w:val="0"/>
                <w:bCs w:val="0"/>
                <w:color w:val="auto"/>
                <w:sz w:val="24"/>
                <w:szCs w:val="24"/>
                <w:vertAlign w:val="baseline"/>
                <w:lang w:val="en-US" w:eastAsia="zh-CN"/>
              </w:rPr>
              <w:t>35</w:t>
            </w:r>
          </w:p>
        </w:tc>
        <w:tc>
          <w:tcPr>
            <w:tcW w:w="1309" w:type="dxa"/>
            <w:vAlign w:val="center"/>
          </w:tcPr>
          <w:p>
            <w:pPr>
              <w:spacing w:line="36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t>吊装</w:t>
            </w:r>
          </w:p>
        </w:tc>
        <w:tc>
          <w:tcPr>
            <w:tcW w:w="5547" w:type="dxa"/>
            <w:vAlign w:val="center"/>
          </w:tcPr>
          <w:p>
            <w:pPr>
              <w:keepNext w:val="0"/>
              <w:keepLines w:val="0"/>
              <w:widowControl/>
              <w:numPr>
                <w:ilvl w:val="0"/>
                <w:numId w:val="0"/>
              </w:numPr>
              <w:suppressLineNumbers w:val="0"/>
              <w:jc w:val="left"/>
              <w:textAlignment w:val="center"/>
              <w:rPr>
                <w:rFonts w:hint="eastAsia"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t>1.吊装时吊装区域需有信号工指挥；2.材料吊装时钢丝绳与材料、钢丝绳锁扣需锁死；吊钩防滑锁扣损坏；3.吊装不满足十不吊原则；4.钢丝绳无破损；5.吊装料斗不符合要求</w:t>
            </w:r>
          </w:p>
          <w:p>
            <w:pPr>
              <w:keepNext w:val="0"/>
              <w:keepLines w:val="0"/>
              <w:widowControl/>
              <w:numPr>
                <w:ilvl w:val="0"/>
                <w:numId w:val="0"/>
              </w:numPr>
              <w:suppressLineNumbers w:val="0"/>
              <w:jc w:val="left"/>
              <w:textAlignment w:val="cente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合</w:t>
            </w:r>
            <w: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t>2处及以上</w:t>
            </w:r>
          </w:p>
        </w:tc>
        <w:tc>
          <w:tcPr>
            <w:tcW w:w="1425"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2000（每处1000）</w:t>
            </w:r>
          </w:p>
        </w:tc>
        <w:tc>
          <w:tcPr>
            <w:tcW w:w="710" w:type="dxa"/>
            <w:vAlign w:val="center"/>
          </w:tcPr>
          <w:p>
            <w:pPr>
              <w:spacing w:line="36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vAlign w:val="center"/>
          </w:tcPr>
          <w:p>
            <w:pPr>
              <w:spacing w:line="360" w:lineRule="auto"/>
              <w:rPr>
                <w:rFonts w:hint="eastAsia" w:ascii="楷体" w:hAnsi="楷体" w:eastAsia="楷体" w:cs="楷体"/>
                <w:b w:val="0"/>
                <w:bCs w:val="0"/>
                <w:color w:val="000000" w:themeColor="text1"/>
                <w:sz w:val="24"/>
                <w:szCs w:val="24"/>
                <w:vertAlign w:val="baseline"/>
                <w14:textFill>
                  <w14:solidFill>
                    <w14:schemeClr w14:val="tx1"/>
                  </w14:solidFill>
                </w14:textFill>
              </w:rPr>
            </w:pPr>
          </w:p>
        </w:tc>
        <w:tc>
          <w:tcPr>
            <w:tcW w:w="1309" w:type="dxa"/>
            <w:vAlign w:val="center"/>
          </w:tcPr>
          <w:p>
            <w:pPr>
              <w:spacing w:line="36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t>吊装</w:t>
            </w:r>
          </w:p>
        </w:tc>
        <w:tc>
          <w:tcPr>
            <w:tcW w:w="5547" w:type="dxa"/>
            <w:vAlign w:val="center"/>
          </w:tcPr>
          <w:p>
            <w:pPr>
              <w:keepNext w:val="0"/>
              <w:keepLines w:val="0"/>
              <w:widowControl/>
              <w:numPr>
                <w:ilvl w:val="0"/>
                <w:numId w:val="0"/>
              </w:numPr>
              <w:suppressLineNumbers w:val="0"/>
              <w:jc w:val="left"/>
              <w:textAlignment w:val="center"/>
              <w:rPr>
                <w:rFonts w:hint="eastAsia"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t>1.</w:t>
            </w:r>
            <w:r>
              <w:rPr>
                <w:rFonts w:hint="eastAsia" w:ascii="楷体" w:hAnsi="楷体" w:eastAsia="楷体" w:cs="楷体"/>
                <w:b w:val="0"/>
                <w:bCs w:val="0"/>
                <w:color w:val="000000" w:themeColor="text1"/>
                <w:sz w:val="24"/>
                <w:szCs w:val="24"/>
                <w14:textFill>
                  <w14:solidFill>
                    <w14:schemeClr w14:val="tx1"/>
                  </w14:solidFill>
                </w14:textFill>
              </w:rPr>
              <w:t>吊物堆积高度高于吊笼高度，</w:t>
            </w:r>
            <w:r>
              <w:rPr>
                <w:rFonts w:hint="eastAsia" w:ascii="楷体" w:hAnsi="楷体" w:eastAsia="楷体" w:cs="楷体"/>
                <w:b w:val="0"/>
                <w:bCs w:val="0"/>
                <w:color w:val="000000" w:themeColor="text1"/>
                <w:sz w:val="24"/>
                <w:szCs w:val="24"/>
                <w:lang w:val="en-US" w:eastAsia="zh-CN"/>
                <w14:textFill>
                  <w14:solidFill>
                    <w14:schemeClr w14:val="tx1"/>
                  </w14:solidFill>
                </w14:textFill>
              </w:rPr>
              <w:t>2.</w:t>
            </w:r>
            <w:r>
              <w:rPr>
                <w:rFonts w:hint="eastAsia" w:ascii="楷体" w:hAnsi="楷体" w:eastAsia="楷体" w:cs="楷体"/>
                <w:b w:val="0"/>
                <w:bCs w:val="0"/>
                <w:color w:val="000000" w:themeColor="text1"/>
                <w:sz w:val="24"/>
                <w:szCs w:val="24"/>
                <w14:textFill>
                  <w14:solidFill>
                    <w14:schemeClr w14:val="tx1"/>
                  </w14:solidFill>
                </w14:textFill>
              </w:rPr>
              <w:t>吊物</w:t>
            </w:r>
            <w:r>
              <w:rPr>
                <w:rFonts w:hint="eastAsia" w:ascii="楷体" w:hAnsi="楷体" w:eastAsia="楷体" w:cs="楷体"/>
                <w:b w:val="0"/>
                <w:bCs w:val="0"/>
                <w:color w:val="000000" w:themeColor="text1"/>
                <w:sz w:val="24"/>
                <w:szCs w:val="24"/>
                <w:lang w:val="en-US" w:eastAsia="zh-CN"/>
                <w14:textFill>
                  <w14:solidFill>
                    <w14:schemeClr w14:val="tx1"/>
                  </w14:solidFill>
                </w14:textFill>
              </w:rPr>
              <w:t>长短混吊或</w:t>
            </w:r>
            <w:r>
              <w:rPr>
                <w:rFonts w:hint="eastAsia" w:ascii="楷体" w:hAnsi="楷体" w:eastAsia="楷体" w:cs="楷体"/>
                <w:b w:val="0"/>
                <w:bCs w:val="0"/>
                <w:color w:val="000000" w:themeColor="text1"/>
                <w:sz w:val="24"/>
                <w:szCs w:val="24"/>
                <w14:textFill>
                  <w14:solidFill>
                    <w14:schemeClr w14:val="tx1"/>
                  </w14:solidFill>
                </w14:textFill>
              </w:rPr>
              <w:t>捆绑不符合要求</w:t>
            </w:r>
            <w:r>
              <w:rPr>
                <w:rFonts w:hint="eastAsia" w:ascii="楷体" w:hAnsi="楷体" w:eastAsia="楷体" w:cs="楷体"/>
                <w:b w:val="0"/>
                <w:bCs w:val="0"/>
                <w:color w:val="000000" w:themeColor="text1"/>
                <w:sz w:val="24"/>
                <w:szCs w:val="24"/>
                <w:lang w:eastAsia="zh-CN"/>
                <w14:textFill>
                  <w14:solidFill>
                    <w14:schemeClr w14:val="tx1"/>
                  </w14:solidFill>
                </w14:textFill>
              </w:rPr>
              <w:t>，</w:t>
            </w:r>
            <w:r>
              <w:rPr>
                <w:rFonts w:hint="eastAsia" w:ascii="楷体" w:hAnsi="楷体" w:eastAsia="楷体" w:cs="楷体"/>
                <w:b w:val="0"/>
                <w:bCs w:val="0"/>
                <w:color w:val="000000" w:themeColor="text1"/>
                <w:sz w:val="24"/>
                <w:szCs w:val="24"/>
                <w:lang w:val="en-US" w:eastAsia="zh-CN"/>
                <w14:textFill>
                  <w14:solidFill>
                    <w14:schemeClr w14:val="tx1"/>
                  </w14:solidFill>
                </w14:textFill>
              </w:rPr>
              <w:t>3.钢管穿箍筋吊运；4.吊笼未四点起吊；5.</w:t>
            </w:r>
            <w: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t>零星材料吊装未采用吊斗吊运</w:t>
            </w:r>
          </w:p>
          <w:p>
            <w:pPr>
              <w:keepNext w:val="0"/>
              <w:keepLines w:val="0"/>
              <w:widowControl/>
              <w:numPr>
                <w:ilvl w:val="0"/>
                <w:numId w:val="0"/>
              </w:numPr>
              <w:suppressLineNumbers w:val="0"/>
              <w:jc w:val="left"/>
              <w:textAlignment w:val="center"/>
              <w:rPr>
                <w:rFonts w:hint="default"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合2处及以上</w:t>
            </w:r>
          </w:p>
        </w:tc>
        <w:tc>
          <w:tcPr>
            <w:tcW w:w="1425" w:type="dxa"/>
            <w:vAlign w:val="center"/>
          </w:tcPr>
          <w:p>
            <w:pPr>
              <w:spacing w:line="36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2000（每处1000）</w:t>
            </w:r>
          </w:p>
        </w:tc>
        <w:tc>
          <w:tcPr>
            <w:tcW w:w="710" w:type="dxa"/>
            <w:vAlign w:val="center"/>
          </w:tcPr>
          <w:p>
            <w:pPr>
              <w:spacing w:line="36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vAlign w:val="center"/>
          </w:tcPr>
          <w:p>
            <w:pPr>
              <w:spacing w:line="24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36</w:t>
            </w:r>
          </w:p>
        </w:tc>
        <w:tc>
          <w:tcPr>
            <w:tcW w:w="1309" w:type="dxa"/>
            <w:vMerge w:val="restart"/>
            <w:vAlign w:val="center"/>
          </w:tcPr>
          <w:p>
            <w:pPr>
              <w:spacing w:line="24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t>临电</w:t>
            </w:r>
          </w:p>
        </w:tc>
        <w:tc>
          <w:tcPr>
            <w:tcW w:w="5547" w:type="dxa"/>
            <w:vAlign w:val="center"/>
          </w:tcPr>
          <w:p>
            <w:pPr>
              <w:pStyle w:val="8"/>
              <w:spacing w:line="240" w:lineRule="auto"/>
              <w:ind w:left="0" w:leftChars="0" w:firstLine="0" w:firstLineChars="0"/>
              <w:jc w:val="left"/>
              <w:rPr>
                <w:rFonts w:hint="eastAsia"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1.</w:t>
            </w:r>
            <w:r>
              <w:rPr>
                <w:rFonts w:hint="eastAsia" w:ascii="楷体" w:hAnsi="楷体" w:eastAsia="楷体" w:cs="楷体"/>
                <w:b w:val="0"/>
                <w:bCs w:val="0"/>
                <w:color w:val="000000" w:themeColor="text1"/>
                <w:sz w:val="24"/>
                <w:szCs w:val="24"/>
                <w14:textFill>
                  <w14:solidFill>
                    <w14:schemeClr w14:val="tx1"/>
                  </w14:solidFill>
                </w14:textFill>
              </w:rPr>
              <w:t xml:space="preserve"> 单标段项目检查发现缺少漏保器或漏保器失效达到</w:t>
            </w:r>
            <w:r>
              <w:rPr>
                <w:rFonts w:hint="eastAsia" w:ascii="楷体" w:hAnsi="楷体" w:eastAsia="楷体" w:cs="楷体"/>
                <w:b w:val="0"/>
                <w:bCs w:val="0"/>
                <w:color w:val="000000" w:themeColor="text1"/>
                <w:sz w:val="24"/>
                <w:szCs w:val="24"/>
                <w:lang w:val="en-US" w:eastAsia="zh-CN"/>
                <w14:textFill>
                  <w14:solidFill>
                    <w14:schemeClr w14:val="tx1"/>
                  </w14:solidFill>
                </w14:textFill>
              </w:rPr>
              <w:t>1</w:t>
            </w:r>
            <w:r>
              <w:rPr>
                <w:rFonts w:hint="eastAsia" w:ascii="楷体" w:hAnsi="楷体" w:eastAsia="楷体" w:cs="楷体"/>
                <w:b w:val="0"/>
                <w:bCs w:val="0"/>
                <w:color w:val="000000" w:themeColor="text1"/>
                <w:sz w:val="24"/>
                <w:szCs w:val="24"/>
                <w14:textFill>
                  <w14:solidFill>
                    <w14:schemeClr w14:val="tx1"/>
                  </w14:solidFill>
                </w14:textFill>
              </w:rPr>
              <w:t>个及以上</w:t>
            </w:r>
          </w:p>
        </w:tc>
        <w:tc>
          <w:tcPr>
            <w:tcW w:w="1425"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w:t>
            </w:r>
          </w:p>
        </w:tc>
        <w:tc>
          <w:tcPr>
            <w:tcW w:w="710"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vAlign w:val="center"/>
          </w:tcPr>
          <w:p>
            <w:pPr>
              <w:spacing w:line="24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37</w:t>
            </w:r>
          </w:p>
        </w:tc>
        <w:tc>
          <w:tcPr>
            <w:tcW w:w="1309" w:type="dxa"/>
            <w:vMerge w:val="continue"/>
            <w:vAlign w:val="center"/>
          </w:tcPr>
          <w:p>
            <w:pPr>
              <w:spacing w:line="24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p>
        </w:tc>
        <w:tc>
          <w:tcPr>
            <w:tcW w:w="5547" w:type="dxa"/>
            <w:vAlign w:val="center"/>
          </w:tcPr>
          <w:p>
            <w:pPr>
              <w:pStyle w:val="8"/>
              <w:spacing w:line="240" w:lineRule="auto"/>
              <w:ind w:left="0" w:leftChars="0" w:firstLine="0" w:firstLineChars="0"/>
              <w:jc w:val="left"/>
              <w:rPr>
                <w:rFonts w:hint="eastAsia"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2.</w:t>
            </w:r>
            <w:r>
              <w:rPr>
                <w:rFonts w:hint="eastAsia" w:ascii="楷体" w:hAnsi="楷体" w:eastAsia="楷体" w:cs="楷体"/>
                <w:b w:val="0"/>
                <w:bCs w:val="0"/>
                <w:color w:val="000000" w:themeColor="text1"/>
                <w:sz w:val="24"/>
                <w:szCs w:val="24"/>
                <w14:textFill>
                  <w14:solidFill>
                    <w14:schemeClr w14:val="tx1"/>
                  </w14:solidFill>
                </w14:textFill>
              </w:rPr>
              <w:t xml:space="preserve"> 地下室等潮湿环境没有使用低压电</w:t>
            </w:r>
          </w:p>
        </w:tc>
        <w:tc>
          <w:tcPr>
            <w:tcW w:w="1425"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w:t>
            </w:r>
          </w:p>
        </w:tc>
        <w:tc>
          <w:tcPr>
            <w:tcW w:w="710"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vAlign w:val="center"/>
          </w:tcPr>
          <w:p>
            <w:pPr>
              <w:spacing w:line="24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38</w:t>
            </w:r>
          </w:p>
        </w:tc>
        <w:tc>
          <w:tcPr>
            <w:tcW w:w="1309" w:type="dxa"/>
            <w:vMerge w:val="continue"/>
            <w:vAlign w:val="center"/>
          </w:tcPr>
          <w:p>
            <w:pPr>
              <w:spacing w:line="24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p>
        </w:tc>
        <w:tc>
          <w:tcPr>
            <w:tcW w:w="5547" w:type="dxa"/>
            <w:vAlign w:val="center"/>
          </w:tcPr>
          <w:p>
            <w:pPr>
              <w:pStyle w:val="8"/>
              <w:spacing w:line="240" w:lineRule="auto"/>
              <w:ind w:left="0" w:leftChars="0" w:firstLine="0" w:firstLineChars="0"/>
              <w:jc w:val="left"/>
              <w:rPr>
                <w:rFonts w:hint="eastAsia"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3.</w:t>
            </w:r>
            <w:r>
              <w:rPr>
                <w:rFonts w:hint="eastAsia" w:ascii="楷体" w:hAnsi="楷体" w:eastAsia="楷体" w:cs="楷体"/>
                <w:b w:val="0"/>
                <w:bCs w:val="0"/>
                <w:color w:val="000000" w:themeColor="text1"/>
                <w:sz w:val="24"/>
                <w:szCs w:val="24"/>
                <w14:textFill>
                  <w14:solidFill>
                    <w14:schemeClr w14:val="tx1"/>
                  </w14:solidFill>
                </w14:textFill>
              </w:rPr>
              <w:t>塔吊旋转范围内有高压线而没有防护或防护不符方案要求</w:t>
            </w:r>
          </w:p>
        </w:tc>
        <w:tc>
          <w:tcPr>
            <w:tcW w:w="1425"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w:t>
            </w:r>
          </w:p>
        </w:tc>
        <w:tc>
          <w:tcPr>
            <w:tcW w:w="710"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vAlign w:val="center"/>
          </w:tcPr>
          <w:p>
            <w:pPr>
              <w:spacing w:line="24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39</w:t>
            </w:r>
          </w:p>
        </w:tc>
        <w:tc>
          <w:tcPr>
            <w:tcW w:w="1309" w:type="dxa"/>
            <w:vMerge w:val="restart"/>
            <w:vAlign w:val="center"/>
          </w:tcPr>
          <w:p>
            <w:pPr>
              <w:spacing w:line="24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t>PC吊安装</w:t>
            </w:r>
          </w:p>
        </w:tc>
        <w:tc>
          <w:tcPr>
            <w:tcW w:w="5547" w:type="dxa"/>
            <w:vAlign w:val="center"/>
          </w:tcPr>
          <w:p>
            <w:pPr>
              <w:spacing w:line="240" w:lineRule="auto"/>
              <w:rPr>
                <w:rFonts w:hint="eastAsia" w:ascii="楷体" w:hAnsi="楷体" w:eastAsia="楷体" w:cs="楷体"/>
                <w:b w:val="0"/>
                <w:bCs w:val="0"/>
                <w:color w:val="000000" w:themeColor="text1"/>
                <w:sz w:val="24"/>
                <w:szCs w:val="24"/>
                <w:lang w:eastAsia="zh-CN"/>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1.</w:t>
            </w:r>
            <w:r>
              <w:rPr>
                <w:rFonts w:hint="eastAsia" w:ascii="楷体" w:hAnsi="楷体" w:eastAsia="楷体" w:cs="楷体"/>
                <w:b w:val="0"/>
                <w:bCs w:val="0"/>
                <w:color w:val="000000" w:themeColor="text1"/>
                <w:sz w:val="24"/>
                <w:szCs w:val="24"/>
                <w14:textFill>
                  <w14:solidFill>
                    <w14:schemeClr w14:val="tx1"/>
                  </w14:solidFill>
                </w14:textFill>
              </w:rPr>
              <w:t>预制PC构件堆放架未验收挂牌，堆放区域没有封闭，堆放不符合要求</w:t>
            </w:r>
            <w:r>
              <w:rPr>
                <w:rFonts w:hint="eastAsia" w:ascii="楷体" w:hAnsi="楷体" w:eastAsia="楷体" w:cs="楷体"/>
                <w:b w:val="0"/>
                <w:bCs w:val="0"/>
                <w:color w:val="000000" w:themeColor="text1"/>
                <w:sz w:val="24"/>
                <w:szCs w:val="24"/>
                <w:lang w:eastAsia="zh-CN"/>
                <w14:textFill>
                  <w14:solidFill>
                    <w14:schemeClr w14:val="tx1"/>
                  </w14:solidFill>
                </w14:textFill>
              </w:rPr>
              <w:t>；</w:t>
            </w:r>
          </w:p>
          <w:p>
            <w:pPr>
              <w:spacing w:line="240" w:lineRule="auto"/>
              <w:rPr>
                <w:rFonts w:hint="eastAsia" w:ascii="楷体" w:hAnsi="楷体" w:eastAsia="楷体" w:cs="楷体"/>
                <w:b w:val="0"/>
                <w:bCs w:val="0"/>
                <w:color w:val="000000" w:themeColor="text1"/>
                <w:sz w:val="24"/>
                <w:szCs w:val="24"/>
                <w:lang w:eastAsia="zh-CN"/>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2.</w:t>
            </w:r>
            <w:r>
              <w:rPr>
                <w:rFonts w:hint="eastAsia" w:ascii="楷体" w:hAnsi="楷体" w:eastAsia="楷体" w:cs="楷体"/>
                <w:b w:val="0"/>
                <w:bCs w:val="0"/>
                <w:color w:val="000000" w:themeColor="text1"/>
                <w:sz w:val="24"/>
                <w:szCs w:val="24"/>
                <w14:textFill>
                  <w14:solidFill>
                    <w14:schemeClr w14:val="tx1"/>
                  </w14:solidFill>
                </w14:textFill>
              </w:rPr>
              <w:t>预制PC构件吊装用吊具不符合要求、钢丝绳毛刺多或自编绳接头</w:t>
            </w:r>
            <w:r>
              <w:rPr>
                <w:rFonts w:hint="eastAsia" w:ascii="楷体" w:hAnsi="楷体" w:eastAsia="楷体" w:cs="楷体"/>
                <w:b w:val="0"/>
                <w:bCs w:val="0"/>
                <w:color w:val="000000" w:themeColor="text1"/>
                <w:sz w:val="24"/>
                <w:szCs w:val="24"/>
                <w:lang w:eastAsia="zh-CN"/>
                <w14:textFill>
                  <w14:solidFill>
                    <w14:schemeClr w14:val="tx1"/>
                  </w14:solidFill>
                </w14:textFill>
              </w:rPr>
              <w:t>；</w:t>
            </w:r>
          </w:p>
          <w:p>
            <w:pPr>
              <w:spacing w:line="240" w:lineRule="auto"/>
              <w:rPr>
                <w:rFonts w:hint="eastAsia"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3.</w:t>
            </w:r>
            <w:r>
              <w:rPr>
                <w:rFonts w:hint="eastAsia" w:ascii="楷体" w:hAnsi="楷体" w:eastAsia="楷体" w:cs="楷体"/>
                <w:b w:val="0"/>
                <w:bCs w:val="0"/>
                <w:color w:val="000000" w:themeColor="text1"/>
                <w:sz w:val="24"/>
                <w:szCs w:val="24"/>
                <w14:textFill>
                  <w14:solidFill>
                    <w14:schemeClr w14:val="tx1"/>
                  </w14:solidFill>
                </w14:textFill>
              </w:rPr>
              <w:t>预制PC构件吊运方法不符合方案要求。</w:t>
            </w:r>
          </w:p>
          <w:p>
            <w:pPr>
              <w:spacing w:line="240" w:lineRule="auto"/>
              <w:rPr>
                <w:rFonts w:hint="eastAsia"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合2处及以上</w:t>
            </w:r>
          </w:p>
        </w:tc>
        <w:tc>
          <w:tcPr>
            <w:tcW w:w="1425"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2000（每处1000）</w:t>
            </w:r>
          </w:p>
        </w:tc>
        <w:tc>
          <w:tcPr>
            <w:tcW w:w="710"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vAlign w:val="center"/>
          </w:tcPr>
          <w:p>
            <w:pPr>
              <w:spacing w:line="24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40</w:t>
            </w:r>
          </w:p>
        </w:tc>
        <w:tc>
          <w:tcPr>
            <w:tcW w:w="1309" w:type="dxa"/>
            <w:vMerge w:val="continue"/>
            <w:vAlign w:val="center"/>
          </w:tcPr>
          <w:p>
            <w:pPr>
              <w:spacing w:line="24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p>
        </w:tc>
        <w:tc>
          <w:tcPr>
            <w:tcW w:w="5547" w:type="dxa"/>
            <w:vAlign w:val="center"/>
          </w:tcPr>
          <w:p>
            <w:pPr>
              <w:spacing w:line="240" w:lineRule="auto"/>
              <w:rPr>
                <w:rFonts w:hint="eastAsia" w:ascii="楷体" w:hAnsi="楷体" w:eastAsia="楷体" w:cs="楷体"/>
                <w:b w:val="0"/>
                <w:bCs w:val="0"/>
                <w:color w:val="000000" w:themeColor="text1"/>
                <w:sz w:val="24"/>
                <w:szCs w:val="24"/>
                <w:lang w:val="en-US"/>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1.</w:t>
            </w:r>
            <w:r>
              <w:rPr>
                <w:rFonts w:hint="eastAsia" w:ascii="楷体" w:hAnsi="楷体" w:eastAsia="楷体" w:cs="楷体"/>
                <w:b w:val="0"/>
                <w:bCs w:val="0"/>
                <w:color w:val="000000" w:themeColor="text1"/>
                <w:sz w:val="24"/>
                <w:szCs w:val="24"/>
                <w14:textFill>
                  <w14:solidFill>
                    <w14:schemeClr w14:val="tx1"/>
                  </w14:solidFill>
                </w14:textFill>
              </w:rPr>
              <w:t>预制PC构件临时固定不符合方案要求</w:t>
            </w:r>
            <w:r>
              <w:rPr>
                <w:rFonts w:hint="eastAsia" w:ascii="楷体" w:hAnsi="楷体" w:eastAsia="楷体" w:cs="楷体"/>
                <w:b w:val="0"/>
                <w:bCs w:val="0"/>
                <w:color w:val="000000" w:themeColor="text1"/>
                <w:sz w:val="24"/>
                <w:szCs w:val="24"/>
                <w:lang w:eastAsia="zh-CN"/>
                <w14:textFill>
                  <w14:solidFill>
                    <w14:schemeClr w14:val="tx1"/>
                  </w14:solidFill>
                </w14:textFill>
              </w:rPr>
              <w:t>，</w:t>
            </w:r>
            <w:r>
              <w:rPr>
                <w:rFonts w:hint="eastAsia" w:ascii="楷体" w:hAnsi="楷体" w:eastAsia="楷体" w:cs="楷体"/>
                <w:b w:val="0"/>
                <w:bCs w:val="0"/>
                <w:color w:val="000000" w:themeColor="text1"/>
                <w:sz w:val="24"/>
                <w:szCs w:val="24"/>
                <w:lang w:val="en-US" w:eastAsia="zh-CN"/>
                <w14:textFill>
                  <w14:solidFill>
                    <w14:schemeClr w14:val="tx1"/>
                  </w14:solidFill>
                </w14:textFill>
              </w:rPr>
              <w:t>按块计算</w:t>
            </w:r>
          </w:p>
          <w:p>
            <w:pPr>
              <w:spacing w:line="240" w:lineRule="auto"/>
              <w:rPr>
                <w:rFonts w:hint="eastAsia"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2.叠合板下支撑不符合方案要求，按跨计算</w:t>
            </w:r>
          </w:p>
          <w:p>
            <w:pPr>
              <w:spacing w:line="240" w:lineRule="auto"/>
              <w:rPr>
                <w:rFonts w:hint="eastAsia"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合2处及以上</w:t>
            </w:r>
          </w:p>
        </w:tc>
        <w:tc>
          <w:tcPr>
            <w:tcW w:w="1425"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2000（每处1000）</w:t>
            </w:r>
          </w:p>
        </w:tc>
        <w:tc>
          <w:tcPr>
            <w:tcW w:w="710"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553" w:type="dxa"/>
            <w:vMerge w:val="restart"/>
            <w:vAlign w:val="center"/>
          </w:tcPr>
          <w:p>
            <w:pPr>
              <w:spacing w:line="24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41</w:t>
            </w:r>
          </w:p>
        </w:tc>
        <w:tc>
          <w:tcPr>
            <w:tcW w:w="1309" w:type="dxa"/>
            <w:vMerge w:val="restart"/>
            <w:vAlign w:val="center"/>
          </w:tcPr>
          <w:p>
            <w:pPr>
              <w:spacing w:line="24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p>
          <w:p>
            <w:pPr>
              <w:spacing w:line="24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p>
          <w:p>
            <w:pPr>
              <w:spacing w:line="24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t>防火管理</w:t>
            </w:r>
          </w:p>
          <w:p>
            <w:pPr>
              <w:spacing w:line="24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t>（3条以上黄牌）</w:t>
            </w:r>
          </w:p>
          <w:p>
            <w:pPr>
              <w:spacing w:line="24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p>
        </w:tc>
        <w:tc>
          <w:tcPr>
            <w:tcW w:w="5547" w:type="dxa"/>
            <w:vAlign w:val="center"/>
          </w:tcPr>
          <w:p>
            <w:pPr>
              <w:keepNext w:val="0"/>
              <w:keepLines w:val="0"/>
              <w:widowControl/>
              <w:suppressLineNumbers w:val="0"/>
              <w:spacing w:line="240" w:lineRule="auto"/>
              <w:jc w:val="left"/>
              <w:textAlignment w:val="cente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pPr>
            <w: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t>1.灭火器配置存在缺失、损坏存在5处及以上</w:t>
            </w:r>
          </w:p>
        </w:tc>
        <w:tc>
          <w:tcPr>
            <w:tcW w:w="1425"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w:t>
            </w:r>
          </w:p>
        </w:tc>
        <w:tc>
          <w:tcPr>
            <w:tcW w:w="710"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553" w:type="dxa"/>
            <w:vMerge w:val="continue"/>
            <w:vAlign w:val="center"/>
          </w:tcPr>
          <w:p>
            <w:pPr>
              <w:spacing w:line="240" w:lineRule="auto"/>
              <w:jc w:val="center"/>
              <w:rPr>
                <w:rFonts w:hint="eastAsia" w:ascii="楷体" w:hAnsi="楷体" w:eastAsia="楷体" w:cs="楷体"/>
                <w:b w:val="0"/>
                <w:bCs w:val="0"/>
                <w:color w:val="000000" w:themeColor="text1"/>
                <w:sz w:val="24"/>
                <w:szCs w:val="24"/>
                <w:vertAlign w:val="baseline"/>
                <w14:textFill>
                  <w14:solidFill>
                    <w14:schemeClr w14:val="tx1"/>
                  </w14:solidFill>
                </w14:textFill>
              </w:rPr>
            </w:pPr>
          </w:p>
        </w:tc>
        <w:tc>
          <w:tcPr>
            <w:tcW w:w="1309" w:type="dxa"/>
            <w:vMerge w:val="continue"/>
            <w:vAlign w:val="center"/>
          </w:tcPr>
          <w:p>
            <w:pPr>
              <w:spacing w:line="240" w:lineRule="auto"/>
              <w:rPr>
                <w:rFonts w:hint="eastAsia" w:ascii="楷体" w:hAnsi="楷体" w:eastAsia="楷体" w:cs="楷体"/>
                <w:b/>
                <w:bCs/>
                <w:color w:val="000000" w:themeColor="text1"/>
                <w:sz w:val="24"/>
                <w:szCs w:val="24"/>
                <w:vertAlign w:val="baseline"/>
                <w14:textFill>
                  <w14:solidFill>
                    <w14:schemeClr w14:val="tx1"/>
                  </w14:solidFill>
                </w14:textFill>
              </w:rPr>
            </w:pPr>
          </w:p>
        </w:tc>
        <w:tc>
          <w:tcPr>
            <w:tcW w:w="5547" w:type="dxa"/>
            <w:vAlign w:val="center"/>
          </w:tcPr>
          <w:p>
            <w:pPr>
              <w:keepNext w:val="0"/>
              <w:keepLines w:val="0"/>
              <w:widowControl/>
              <w:suppressLineNumbers w:val="0"/>
              <w:spacing w:line="240" w:lineRule="auto"/>
              <w:jc w:val="left"/>
              <w:textAlignment w:val="cente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pPr>
            <w: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t>2.动火作业无动火证，存在2处及以上</w:t>
            </w:r>
          </w:p>
        </w:tc>
        <w:tc>
          <w:tcPr>
            <w:tcW w:w="1425"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w:t>
            </w:r>
          </w:p>
        </w:tc>
        <w:tc>
          <w:tcPr>
            <w:tcW w:w="710"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vMerge w:val="continue"/>
            <w:vAlign w:val="center"/>
          </w:tcPr>
          <w:p>
            <w:pPr>
              <w:spacing w:line="240" w:lineRule="auto"/>
              <w:jc w:val="center"/>
              <w:rPr>
                <w:rFonts w:hint="eastAsia" w:ascii="楷体" w:hAnsi="楷体" w:eastAsia="楷体" w:cs="楷体"/>
                <w:b w:val="0"/>
                <w:bCs w:val="0"/>
                <w:color w:val="000000" w:themeColor="text1"/>
                <w:sz w:val="24"/>
                <w:szCs w:val="24"/>
                <w:vertAlign w:val="baseline"/>
                <w14:textFill>
                  <w14:solidFill>
                    <w14:schemeClr w14:val="tx1"/>
                  </w14:solidFill>
                </w14:textFill>
              </w:rPr>
            </w:pPr>
          </w:p>
        </w:tc>
        <w:tc>
          <w:tcPr>
            <w:tcW w:w="1309" w:type="dxa"/>
            <w:vMerge w:val="continue"/>
            <w:vAlign w:val="center"/>
          </w:tcPr>
          <w:p>
            <w:pPr>
              <w:spacing w:line="240" w:lineRule="auto"/>
              <w:rPr>
                <w:rFonts w:hint="eastAsia" w:ascii="楷体" w:hAnsi="楷体" w:eastAsia="楷体" w:cs="楷体"/>
                <w:b/>
                <w:bCs/>
                <w:color w:val="000000" w:themeColor="text1"/>
                <w:sz w:val="24"/>
                <w:szCs w:val="24"/>
                <w:vertAlign w:val="baseline"/>
                <w14:textFill>
                  <w14:solidFill>
                    <w14:schemeClr w14:val="tx1"/>
                  </w14:solidFill>
                </w14:textFill>
              </w:rPr>
            </w:pPr>
          </w:p>
        </w:tc>
        <w:tc>
          <w:tcPr>
            <w:tcW w:w="5547" w:type="dxa"/>
            <w:vAlign w:val="center"/>
          </w:tcPr>
          <w:p>
            <w:pPr>
              <w:keepNext w:val="0"/>
              <w:keepLines w:val="0"/>
              <w:widowControl/>
              <w:numPr>
                <w:ilvl w:val="0"/>
                <w:numId w:val="0"/>
              </w:numPr>
              <w:suppressLineNumbers w:val="0"/>
              <w:spacing w:line="240" w:lineRule="auto"/>
              <w:ind w:leftChars="0"/>
              <w:jc w:val="left"/>
              <w:textAlignment w:val="cente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pPr>
            <w: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t>3.高层建筑无临时消防给水系统或给水系统无水的；消防立管管径不满足规范要求、未设置消防接口的；消防箱未配备消防水带、消防水枪的；</w:t>
            </w:r>
          </w:p>
          <w:p>
            <w:pPr>
              <w:keepNext w:val="0"/>
              <w:keepLines w:val="0"/>
              <w:widowControl/>
              <w:numPr>
                <w:ilvl w:val="0"/>
                <w:numId w:val="0"/>
              </w:numPr>
              <w:suppressLineNumbers w:val="0"/>
              <w:spacing w:line="240" w:lineRule="auto"/>
              <w:ind w:leftChars="0"/>
              <w:jc w:val="left"/>
              <w:textAlignment w:val="cente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pPr>
            <w: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t>存在2处及以上</w:t>
            </w:r>
          </w:p>
        </w:tc>
        <w:tc>
          <w:tcPr>
            <w:tcW w:w="1425"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2000（每处1000）</w:t>
            </w:r>
          </w:p>
        </w:tc>
        <w:tc>
          <w:tcPr>
            <w:tcW w:w="710"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vMerge w:val="continue"/>
            <w:vAlign w:val="center"/>
          </w:tcPr>
          <w:p>
            <w:pPr>
              <w:spacing w:line="240" w:lineRule="auto"/>
              <w:jc w:val="center"/>
              <w:rPr>
                <w:rFonts w:hint="eastAsia" w:ascii="楷体" w:hAnsi="楷体" w:eastAsia="楷体" w:cs="楷体"/>
                <w:b w:val="0"/>
                <w:bCs w:val="0"/>
                <w:color w:val="000000" w:themeColor="text1"/>
                <w:sz w:val="24"/>
                <w:szCs w:val="24"/>
                <w:vertAlign w:val="baseline"/>
                <w14:textFill>
                  <w14:solidFill>
                    <w14:schemeClr w14:val="tx1"/>
                  </w14:solidFill>
                </w14:textFill>
              </w:rPr>
            </w:pPr>
          </w:p>
        </w:tc>
        <w:tc>
          <w:tcPr>
            <w:tcW w:w="1309" w:type="dxa"/>
            <w:vMerge w:val="continue"/>
            <w:vAlign w:val="center"/>
          </w:tcPr>
          <w:p>
            <w:pPr>
              <w:spacing w:line="240" w:lineRule="auto"/>
              <w:rPr>
                <w:rFonts w:hint="eastAsia" w:ascii="楷体" w:hAnsi="楷体" w:eastAsia="楷体" w:cs="楷体"/>
                <w:b/>
                <w:bCs/>
                <w:color w:val="000000" w:themeColor="text1"/>
                <w:sz w:val="24"/>
                <w:szCs w:val="24"/>
                <w:vertAlign w:val="baseline"/>
                <w14:textFill>
                  <w14:solidFill>
                    <w14:schemeClr w14:val="tx1"/>
                  </w14:solidFill>
                </w14:textFill>
              </w:rPr>
            </w:pPr>
          </w:p>
        </w:tc>
        <w:tc>
          <w:tcPr>
            <w:tcW w:w="5547" w:type="dxa"/>
            <w:vAlign w:val="center"/>
          </w:tcPr>
          <w:p>
            <w:pPr>
              <w:keepNext w:val="0"/>
              <w:keepLines w:val="0"/>
              <w:widowControl/>
              <w:suppressLineNumbers w:val="0"/>
              <w:spacing w:line="240" w:lineRule="auto"/>
              <w:jc w:val="left"/>
              <w:textAlignment w:val="cente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pPr>
            <w: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t>4.宿舍存在私拉乱接电线，</w:t>
            </w: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使用插线板，</w:t>
            </w:r>
            <w: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t>存在5处及以上情况。</w:t>
            </w:r>
          </w:p>
        </w:tc>
        <w:tc>
          <w:tcPr>
            <w:tcW w:w="1425"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2000（每处400）</w:t>
            </w:r>
          </w:p>
        </w:tc>
        <w:tc>
          <w:tcPr>
            <w:tcW w:w="710"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vMerge w:val="continue"/>
            <w:vAlign w:val="center"/>
          </w:tcPr>
          <w:p>
            <w:pPr>
              <w:spacing w:line="240" w:lineRule="auto"/>
              <w:jc w:val="center"/>
              <w:rPr>
                <w:rFonts w:hint="eastAsia" w:ascii="楷体" w:hAnsi="楷体" w:eastAsia="楷体" w:cs="楷体"/>
                <w:b w:val="0"/>
                <w:bCs w:val="0"/>
                <w:color w:val="000000" w:themeColor="text1"/>
                <w:sz w:val="24"/>
                <w:szCs w:val="24"/>
                <w:vertAlign w:val="baseline"/>
                <w14:textFill>
                  <w14:solidFill>
                    <w14:schemeClr w14:val="tx1"/>
                  </w14:solidFill>
                </w14:textFill>
              </w:rPr>
            </w:pPr>
          </w:p>
        </w:tc>
        <w:tc>
          <w:tcPr>
            <w:tcW w:w="1309" w:type="dxa"/>
            <w:vMerge w:val="continue"/>
            <w:vAlign w:val="center"/>
          </w:tcPr>
          <w:p>
            <w:pPr>
              <w:spacing w:line="240" w:lineRule="auto"/>
              <w:rPr>
                <w:rFonts w:hint="eastAsia" w:ascii="楷体" w:hAnsi="楷体" w:eastAsia="楷体" w:cs="楷体"/>
                <w:b/>
                <w:bCs/>
                <w:color w:val="000000" w:themeColor="text1"/>
                <w:sz w:val="24"/>
                <w:szCs w:val="24"/>
                <w:vertAlign w:val="baseline"/>
                <w14:textFill>
                  <w14:solidFill>
                    <w14:schemeClr w14:val="tx1"/>
                  </w14:solidFill>
                </w14:textFill>
              </w:rPr>
            </w:pPr>
          </w:p>
        </w:tc>
        <w:tc>
          <w:tcPr>
            <w:tcW w:w="5547" w:type="dxa"/>
            <w:vAlign w:val="center"/>
          </w:tcPr>
          <w:p>
            <w:pPr>
              <w:keepNext w:val="0"/>
              <w:keepLines w:val="0"/>
              <w:widowControl/>
              <w:numPr>
                <w:ilvl w:val="0"/>
                <w:numId w:val="0"/>
              </w:numPr>
              <w:suppressLineNumbers w:val="0"/>
              <w:spacing w:line="240" w:lineRule="auto"/>
              <w:ind w:leftChars="0"/>
              <w:jc w:val="left"/>
              <w:textAlignment w:val="cente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5.</w:t>
            </w:r>
            <w:r>
              <w:rPr>
                <w:rFonts w:hint="eastAsia" w:ascii="楷体" w:hAnsi="楷体" w:eastAsia="楷体" w:cs="楷体"/>
                <w:b w:val="0"/>
                <w:bCs w:val="0"/>
                <w:color w:val="000000" w:themeColor="text1"/>
                <w:sz w:val="24"/>
                <w:szCs w:val="24"/>
                <w14:textFill>
                  <w14:solidFill>
                    <w14:schemeClr w14:val="tx1"/>
                  </w14:solidFill>
                </w14:textFill>
              </w:rPr>
              <w:t>宿舍内存在使用超500w的大功率电器</w:t>
            </w:r>
            <w:r>
              <w:rPr>
                <w:rFonts w:hint="eastAsia" w:ascii="楷体" w:hAnsi="楷体" w:eastAsia="楷体" w:cs="楷体"/>
                <w:b w:val="0"/>
                <w:bCs w:val="0"/>
                <w:color w:val="000000" w:themeColor="text1"/>
                <w:sz w:val="24"/>
                <w:szCs w:val="24"/>
                <w:lang w:val="en-US" w:eastAsia="zh-CN"/>
                <w14:textFill>
                  <w14:solidFill>
                    <w14:schemeClr w14:val="tx1"/>
                  </w14:solidFill>
                </w14:textFill>
              </w:rPr>
              <w:t>或</w:t>
            </w:r>
            <w:r>
              <w:rPr>
                <w:rFonts w:hint="eastAsia" w:ascii="楷体" w:hAnsi="楷体" w:eastAsia="楷体" w:cs="楷体"/>
                <w:b w:val="0"/>
                <w:bCs w:val="0"/>
                <w:color w:val="000000" w:themeColor="text1"/>
                <w:sz w:val="24"/>
                <w:szCs w:val="24"/>
                <w14:textFill>
                  <w14:solidFill>
                    <w14:schemeClr w14:val="tx1"/>
                  </w14:solidFill>
                </w14:textFill>
              </w:rPr>
              <w:t>存在</w:t>
            </w:r>
            <w:r>
              <w:rPr>
                <w:rFonts w:hint="eastAsia" w:ascii="楷体" w:hAnsi="楷体" w:eastAsia="楷体" w:cs="楷体"/>
                <w:b w:val="0"/>
                <w:bCs w:val="0"/>
                <w:color w:val="000000" w:themeColor="text1"/>
                <w:sz w:val="24"/>
                <w:szCs w:val="24"/>
                <w:lang w:val="en-US" w:eastAsia="zh-CN"/>
                <w14:textFill>
                  <w14:solidFill>
                    <w14:schemeClr w14:val="tx1"/>
                  </w14:solidFill>
                </w14:textFill>
              </w:rPr>
              <w:t>煮</w:t>
            </w:r>
            <w:r>
              <w:rPr>
                <w:rFonts w:hint="eastAsia" w:ascii="楷体" w:hAnsi="楷体" w:eastAsia="楷体" w:cs="楷体"/>
                <w:b w:val="0"/>
                <w:bCs w:val="0"/>
                <w:color w:val="000000" w:themeColor="text1"/>
                <w:sz w:val="24"/>
                <w:szCs w:val="24"/>
                <w14:textFill>
                  <w14:solidFill>
                    <w14:schemeClr w14:val="tx1"/>
                  </w14:solidFill>
                </w14:textFill>
              </w:rPr>
              <w:t>饭现象</w:t>
            </w:r>
            <w:r>
              <w:rPr>
                <w:rFonts w:hint="eastAsia" w:ascii="楷体" w:hAnsi="楷体" w:eastAsia="楷体" w:cs="楷体"/>
                <w:b w:val="0"/>
                <w:bCs w:val="0"/>
                <w:color w:val="000000" w:themeColor="text1"/>
                <w:sz w:val="24"/>
                <w:szCs w:val="24"/>
                <w:lang w:val="en-US" w:eastAsia="zh-CN"/>
                <w14:textFill>
                  <w14:solidFill>
                    <w14:schemeClr w14:val="tx1"/>
                  </w14:solidFill>
                </w14:textFill>
              </w:rPr>
              <w:t xml:space="preserve">； </w:t>
            </w:r>
          </w:p>
        </w:tc>
        <w:tc>
          <w:tcPr>
            <w:tcW w:w="1425"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w:t>
            </w:r>
          </w:p>
        </w:tc>
        <w:tc>
          <w:tcPr>
            <w:tcW w:w="710"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vMerge w:val="continue"/>
            <w:vAlign w:val="center"/>
          </w:tcPr>
          <w:p>
            <w:pPr>
              <w:spacing w:line="240" w:lineRule="auto"/>
              <w:jc w:val="center"/>
              <w:rPr>
                <w:rFonts w:hint="eastAsia" w:ascii="楷体" w:hAnsi="楷体" w:eastAsia="楷体" w:cs="楷体"/>
                <w:b w:val="0"/>
                <w:bCs w:val="0"/>
                <w:color w:val="000000" w:themeColor="text1"/>
                <w:sz w:val="24"/>
                <w:szCs w:val="24"/>
                <w:vertAlign w:val="baseline"/>
                <w14:textFill>
                  <w14:solidFill>
                    <w14:schemeClr w14:val="tx1"/>
                  </w14:solidFill>
                </w14:textFill>
              </w:rPr>
            </w:pPr>
          </w:p>
        </w:tc>
        <w:tc>
          <w:tcPr>
            <w:tcW w:w="1309" w:type="dxa"/>
            <w:vMerge w:val="continue"/>
            <w:vAlign w:val="center"/>
          </w:tcPr>
          <w:p>
            <w:pPr>
              <w:spacing w:line="240" w:lineRule="auto"/>
              <w:rPr>
                <w:rFonts w:hint="eastAsia" w:ascii="楷体" w:hAnsi="楷体" w:eastAsia="楷体" w:cs="楷体"/>
                <w:b/>
                <w:bCs/>
                <w:color w:val="000000" w:themeColor="text1"/>
                <w:sz w:val="24"/>
                <w:szCs w:val="24"/>
                <w:vertAlign w:val="baseline"/>
                <w14:textFill>
                  <w14:solidFill>
                    <w14:schemeClr w14:val="tx1"/>
                  </w14:solidFill>
                </w14:textFill>
              </w:rPr>
            </w:pPr>
          </w:p>
        </w:tc>
        <w:tc>
          <w:tcPr>
            <w:tcW w:w="5547" w:type="dxa"/>
            <w:vAlign w:val="center"/>
          </w:tcPr>
          <w:p>
            <w:pPr>
              <w:keepNext w:val="0"/>
              <w:keepLines w:val="0"/>
              <w:widowControl/>
              <w:numPr>
                <w:ilvl w:val="0"/>
                <w:numId w:val="0"/>
              </w:numPr>
              <w:suppressLineNumbers w:val="0"/>
              <w:spacing w:line="240" w:lineRule="auto"/>
              <w:ind w:leftChars="0"/>
              <w:jc w:val="left"/>
              <w:textAlignment w:val="center"/>
              <w:rPr>
                <w:rFonts w:hint="eastAsia"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6.宿舍内存有煤气罐或危化品</w:t>
            </w:r>
          </w:p>
        </w:tc>
        <w:tc>
          <w:tcPr>
            <w:tcW w:w="1425"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w:t>
            </w:r>
          </w:p>
        </w:tc>
        <w:tc>
          <w:tcPr>
            <w:tcW w:w="710"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vMerge w:val="continue"/>
            <w:vAlign w:val="center"/>
          </w:tcPr>
          <w:p>
            <w:pPr>
              <w:spacing w:line="240" w:lineRule="auto"/>
              <w:jc w:val="center"/>
              <w:rPr>
                <w:rFonts w:hint="eastAsia" w:ascii="楷体" w:hAnsi="楷体" w:eastAsia="楷体" w:cs="楷体"/>
                <w:b w:val="0"/>
                <w:bCs w:val="0"/>
                <w:color w:val="000000" w:themeColor="text1"/>
                <w:sz w:val="24"/>
                <w:szCs w:val="24"/>
                <w:vertAlign w:val="baseline"/>
                <w14:textFill>
                  <w14:solidFill>
                    <w14:schemeClr w14:val="tx1"/>
                  </w14:solidFill>
                </w14:textFill>
              </w:rPr>
            </w:pPr>
          </w:p>
        </w:tc>
        <w:tc>
          <w:tcPr>
            <w:tcW w:w="1309" w:type="dxa"/>
            <w:vMerge w:val="continue"/>
            <w:vAlign w:val="center"/>
          </w:tcPr>
          <w:p>
            <w:pPr>
              <w:spacing w:line="240" w:lineRule="auto"/>
              <w:rPr>
                <w:rFonts w:hint="eastAsia" w:ascii="楷体" w:hAnsi="楷体" w:eastAsia="楷体" w:cs="楷体"/>
                <w:b/>
                <w:bCs/>
                <w:color w:val="000000" w:themeColor="text1"/>
                <w:sz w:val="24"/>
                <w:szCs w:val="24"/>
                <w:vertAlign w:val="baseline"/>
                <w14:textFill>
                  <w14:solidFill>
                    <w14:schemeClr w14:val="tx1"/>
                  </w14:solidFill>
                </w14:textFill>
              </w:rPr>
            </w:pPr>
          </w:p>
        </w:tc>
        <w:tc>
          <w:tcPr>
            <w:tcW w:w="5547" w:type="dxa"/>
            <w:vAlign w:val="center"/>
          </w:tcPr>
          <w:p>
            <w:pPr>
              <w:keepNext w:val="0"/>
              <w:keepLines w:val="0"/>
              <w:widowControl/>
              <w:numPr>
                <w:ilvl w:val="0"/>
                <w:numId w:val="0"/>
              </w:numPr>
              <w:suppressLineNumbers w:val="0"/>
              <w:spacing w:line="240" w:lineRule="auto"/>
              <w:ind w:leftChars="0"/>
              <w:jc w:val="left"/>
              <w:textAlignment w:val="center"/>
              <w:rPr>
                <w:rFonts w:hint="eastAsia"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 xml:space="preserve">7.电瓶车在宿舍内充电；  </w:t>
            </w:r>
          </w:p>
        </w:tc>
        <w:tc>
          <w:tcPr>
            <w:tcW w:w="1425"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w:t>
            </w:r>
          </w:p>
        </w:tc>
        <w:tc>
          <w:tcPr>
            <w:tcW w:w="710"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vMerge w:val="continue"/>
            <w:vAlign w:val="center"/>
          </w:tcPr>
          <w:p>
            <w:pPr>
              <w:spacing w:line="240" w:lineRule="auto"/>
              <w:jc w:val="center"/>
              <w:rPr>
                <w:rFonts w:hint="eastAsia" w:ascii="楷体" w:hAnsi="楷体" w:eastAsia="楷体" w:cs="楷体"/>
                <w:b w:val="0"/>
                <w:bCs w:val="0"/>
                <w:color w:val="000000" w:themeColor="text1"/>
                <w:sz w:val="24"/>
                <w:szCs w:val="24"/>
                <w:vertAlign w:val="baseline"/>
                <w14:textFill>
                  <w14:solidFill>
                    <w14:schemeClr w14:val="tx1"/>
                  </w14:solidFill>
                </w14:textFill>
              </w:rPr>
            </w:pPr>
          </w:p>
        </w:tc>
        <w:tc>
          <w:tcPr>
            <w:tcW w:w="1309" w:type="dxa"/>
            <w:vMerge w:val="continue"/>
            <w:vAlign w:val="center"/>
          </w:tcPr>
          <w:p>
            <w:pPr>
              <w:spacing w:line="240" w:lineRule="auto"/>
              <w:rPr>
                <w:rFonts w:hint="eastAsia" w:ascii="楷体" w:hAnsi="楷体" w:eastAsia="楷体" w:cs="楷体"/>
                <w:b/>
                <w:bCs/>
                <w:color w:val="000000" w:themeColor="text1"/>
                <w:sz w:val="24"/>
                <w:szCs w:val="24"/>
                <w:vertAlign w:val="baseline"/>
                <w14:textFill>
                  <w14:solidFill>
                    <w14:schemeClr w14:val="tx1"/>
                  </w14:solidFill>
                </w14:textFill>
              </w:rPr>
            </w:pPr>
          </w:p>
        </w:tc>
        <w:tc>
          <w:tcPr>
            <w:tcW w:w="5547" w:type="dxa"/>
            <w:vAlign w:val="center"/>
          </w:tcPr>
          <w:p>
            <w:pPr>
              <w:keepNext w:val="0"/>
              <w:keepLines w:val="0"/>
              <w:widowControl/>
              <w:numPr>
                <w:ilvl w:val="0"/>
                <w:numId w:val="0"/>
              </w:numPr>
              <w:suppressLineNumbers w:val="0"/>
              <w:spacing w:line="240" w:lineRule="auto"/>
              <w:jc w:val="left"/>
              <w:textAlignment w:val="cente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pPr>
            <w: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t>8.现场无专用危险品仓库；在建工程兼做宿舍现象，按房间计</w:t>
            </w:r>
          </w:p>
          <w:p>
            <w:pPr>
              <w:keepNext w:val="0"/>
              <w:keepLines w:val="0"/>
              <w:widowControl/>
              <w:numPr>
                <w:ilvl w:val="0"/>
                <w:numId w:val="0"/>
              </w:numPr>
              <w:suppressLineNumbers w:val="0"/>
              <w:spacing w:line="240" w:lineRule="auto"/>
              <w:jc w:val="left"/>
              <w:textAlignment w:val="cente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pPr>
            <w: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t>合2处以上</w:t>
            </w:r>
          </w:p>
        </w:tc>
        <w:tc>
          <w:tcPr>
            <w:tcW w:w="1425"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2000（每处1000）</w:t>
            </w:r>
          </w:p>
        </w:tc>
        <w:tc>
          <w:tcPr>
            <w:tcW w:w="710" w:type="dxa"/>
            <w:vAlign w:val="center"/>
          </w:tcPr>
          <w:p>
            <w:p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vAlign w:val="center"/>
          </w:tcPr>
          <w:p>
            <w:pPr>
              <w:spacing w:line="360" w:lineRule="auto"/>
              <w:jc w:val="center"/>
              <w:rPr>
                <w:rFonts w:hint="default" w:ascii="楷体" w:hAnsi="楷体" w:eastAsia="楷体" w:cs="楷体"/>
                <w:b w:val="0"/>
                <w:bCs w:val="0"/>
                <w:color w:val="auto"/>
                <w:sz w:val="24"/>
                <w:szCs w:val="24"/>
                <w:vertAlign w:val="baseline"/>
                <w:lang w:val="en-US" w:eastAsia="zh-CN"/>
              </w:rPr>
            </w:pPr>
            <w:r>
              <w:rPr>
                <w:rFonts w:hint="eastAsia" w:ascii="楷体" w:hAnsi="楷体" w:eastAsia="楷体" w:cs="楷体"/>
                <w:b w:val="0"/>
                <w:bCs w:val="0"/>
                <w:color w:val="auto"/>
                <w:sz w:val="24"/>
                <w:szCs w:val="24"/>
                <w:vertAlign w:val="baseline"/>
                <w:lang w:val="en-US" w:eastAsia="zh-CN"/>
              </w:rPr>
              <w:t>42</w:t>
            </w:r>
          </w:p>
        </w:tc>
        <w:tc>
          <w:tcPr>
            <w:tcW w:w="1309" w:type="dxa"/>
            <w:vAlign w:val="center"/>
          </w:tcPr>
          <w:p>
            <w:pPr>
              <w:spacing w:line="360" w:lineRule="auto"/>
              <w:jc w:val="center"/>
              <w:rPr>
                <w:rFonts w:hint="eastAsia" w:ascii="楷体" w:hAnsi="楷体" w:eastAsia="楷体" w:cs="楷体"/>
                <w:b/>
                <w:bCs/>
                <w:color w:val="auto"/>
                <w:sz w:val="24"/>
                <w:szCs w:val="24"/>
                <w:vertAlign w:val="baseline"/>
                <w:lang w:val="en-US" w:eastAsia="zh-CN"/>
              </w:rPr>
            </w:pPr>
            <w:r>
              <w:rPr>
                <w:rFonts w:hint="eastAsia" w:ascii="楷体" w:hAnsi="楷体" w:eastAsia="楷体" w:cs="楷体"/>
                <w:b/>
                <w:bCs/>
                <w:color w:val="auto"/>
                <w:sz w:val="24"/>
                <w:szCs w:val="24"/>
                <w:vertAlign w:val="baseline"/>
                <w:lang w:val="en-US" w:eastAsia="zh-CN"/>
              </w:rPr>
              <w:t>其它</w:t>
            </w:r>
          </w:p>
        </w:tc>
        <w:tc>
          <w:tcPr>
            <w:tcW w:w="5547" w:type="dxa"/>
            <w:vAlign w:val="center"/>
          </w:tcPr>
          <w:p>
            <w:pPr>
              <w:keepNext w:val="0"/>
              <w:keepLines w:val="0"/>
              <w:widowControl/>
              <w:suppressLineNumbers w:val="0"/>
              <w:jc w:val="left"/>
              <w:textAlignment w:val="center"/>
              <w:rPr>
                <w:rFonts w:hint="eastAsia" w:ascii="楷体" w:hAnsi="楷体" w:eastAsia="楷体" w:cs="楷体"/>
                <w:b w:val="0"/>
                <w:bCs w:val="0"/>
                <w:i w:val="0"/>
                <w:color w:val="auto"/>
                <w:kern w:val="0"/>
                <w:sz w:val="24"/>
                <w:szCs w:val="24"/>
                <w:u w:val="none"/>
                <w:lang w:val="en-US" w:eastAsia="zh-CN" w:bidi="ar"/>
              </w:rPr>
            </w:pPr>
            <w:r>
              <w:rPr>
                <w:rFonts w:hint="eastAsia" w:ascii="楷体" w:hAnsi="楷体" w:eastAsia="楷体" w:cs="楷体"/>
                <w:b w:val="0"/>
                <w:bCs w:val="0"/>
                <w:sz w:val="24"/>
                <w:szCs w:val="24"/>
              </w:rPr>
              <w:t>厂内机动车辆无证驾驶</w:t>
            </w:r>
          </w:p>
        </w:tc>
        <w:tc>
          <w:tcPr>
            <w:tcW w:w="1425" w:type="dxa"/>
            <w:vAlign w:val="center"/>
          </w:tcPr>
          <w:p>
            <w:pPr>
              <w:spacing w:line="360" w:lineRule="auto"/>
              <w:jc w:val="center"/>
              <w:rPr>
                <w:rFonts w:hint="eastAsia" w:ascii="楷体" w:hAnsi="楷体" w:eastAsia="楷体" w:cs="楷体"/>
                <w:b w:val="0"/>
                <w:bCs w:val="0"/>
                <w:color w:val="auto"/>
                <w:sz w:val="24"/>
                <w:szCs w:val="24"/>
                <w:vertAlign w:val="baseline"/>
                <w:lang w:val="en-US" w:eastAsia="zh-CN"/>
              </w:rPr>
            </w:pPr>
            <w:r>
              <w:rPr>
                <w:rFonts w:hint="eastAsia" w:ascii="楷体" w:hAnsi="楷体" w:eastAsia="楷体" w:cs="楷体"/>
                <w:b w:val="0"/>
                <w:bCs w:val="0"/>
                <w:color w:val="auto"/>
                <w:sz w:val="24"/>
                <w:szCs w:val="24"/>
                <w:vertAlign w:val="baseline"/>
                <w:lang w:val="en-US" w:eastAsia="zh-CN"/>
              </w:rPr>
              <w:t>2000</w:t>
            </w:r>
          </w:p>
        </w:tc>
        <w:tc>
          <w:tcPr>
            <w:tcW w:w="710" w:type="dxa"/>
            <w:vAlign w:val="center"/>
          </w:tcPr>
          <w:p>
            <w:pPr>
              <w:spacing w:line="360" w:lineRule="auto"/>
              <w:jc w:val="center"/>
              <w:rPr>
                <w:rFonts w:hint="eastAsia" w:ascii="楷体" w:hAnsi="楷体" w:eastAsia="楷体" w:cs="楷体"/>
                <w:b w:val="0"/>
                <w:bCs w:val="0"/>
                <w:color w:val="auto"/>
                <w:sz w:val="24"/>
                <w:szCs w:val="24"/>
                <w:vertAlign w:val="baseline"/>
                <w:lang w:val="en-US" w:eastAsia="zh-CN"/>
              </w:rPr>
            </w:pPr>
            <w:r>
              <w:rPr>
                <w:rFonts w:hint="eastAsia" w:ascii="楷体" w:hAnsi="楷体" w:eastAsia="楷体" w:cs="楷体"/>
                <w:b w:val="0"/>
                <w:bCs w:val="0"/>
                <w:color w:val="auto"/>
                <w:sz w:val="24"/>
                <w:szCs w:val="24"/>
                <w:vertAlign w:val="baseline"/>
                <w:lang w:val="en-US" w:eastAsia="zh-CN"/>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vAlign w:val="center"/>
          </w:tcPr>
          <w:p>
            <w:pPr>
              <w:spacing w:line="360" w:lineRule="auto"/>
              <w:jc w:val="center"/>
              <w:rPr>
                <w:rFonts w:hint="default" w:ascii="楷体" w:hAnsi="楷体" w:eastAsia="楷体" w:cs="楷体"/>
                <w:b w:val="0"/>
                <w:bCs w:val="0"/>
                <w:color w:val="auto"/>
                <w:sz w:val="24"/>
                <w:szCs w:val="24"/>
                <w:vertAlign w:val="baseline"/>
                <w:lang w:val="en-US" w:eastAsia="zh-CN"/>
              </w:rPr>
            </w:pPr>
            <w:r>
              <w:rPr>
                <w:rFonts w:hint="eastAsia" w:ascii="楷体" w:hAnsi="楷体" w:eastAsia="楷体" w:cs="楷体"/>
                <w:b w:val="0"/>
                <w:bCs w:val="0"/>
                <w:color w:val="auto"/>
                <w:sz w:val="24"/>
                <w:szCs w:val="24"/>
                <w:vertAlign w:val="baseline"/>
                <w:lang w:val="en-US" w:eastAsia="zh-CN"/>
              </w:rPr>
              <w:t>43</w:t>
            </w:r>
          </w:p>
        </w:tc>
        <w:tc>
          <w:tcPr>
            <w:tcW w:w="1309" w:type="dxa"/>
            <w:vAlign w:val="center"/>
          </w:tcPr>
          <w:p>
            <w:pPr>
              <w:numPr>
                <w:ilvl w:val="0"/>
                <w:numId w:val="0"/>
              </w:numPr>
              <w:spacing w:line="360" w:lineRule="auto"/>
              <w:ind w:left="0" w:leftChars="0" w:firstLine="0" w:firstLineChars="0"/>
              <w:jc w:val="center"/>
              <w:rPr>
                <w:rFonts w:hint="eastAsia" w:ascii="楷体" w:hAnsi="楷体" w:eastAsia="楷体" w:cs="楷体"/>
                <w:b/>
                <w:bCs/>
                <w:color w:val="auto"/>
                <w:sz w:val="24"/>
                <w:szCs w:val="24"/>
                <w:vertAlign w:val="baseline"/>
                <w:lang w:val="en-US" w:eastAsia="zh-CN"/>
              </w:rPr>
            </w:pPr>
            <w:r>
              <w:rPr>
                <w:rFonts w:hint="eastAsia" w:ascii="楷体" w:hAnsi="楷体" w:eastAsia="楷体" w:cs="楷体"/>
                <w:b/>
                <w:bCs/>
                <w:color w:val="auto"/>
                <w:sz w:val="24"/>
                <w:szCs w:val="24"/>
                <w:vertAlign w:val="baseline"/>
                <w:lang w:val="en-US" w:eastAsia="zh-CN"/>
              </w:rPr>
              <w:t>问题整改</w:t>
            </w:r>
          </w:p>
        </w:tc>
        <w:tc>
          <w:tcPr>
            <w:tcW w:w="5547" w:type="dxa"/>
            <w:vAlign w:val="center"/>
          </w:tcPr>
          <w:p>
            <w:pPr>
              <w:numPr>
                <w:ilvl w:val="0"/>
                <w:numId w:val="0"/>
              </w:numPr>
              <w:spacing w:line="360" w:lineRule="auto"/>
              <w:ind w:left="0" w:leftChars="0" w:firstLine="0" w:firstLineChars="0"/>
              <w:rPr>
                <w:rFonts w:hint="eastAsia" w:ascii="楷体" w:hAnsi="楷体" w:eastAsia="楷体" w:cs="楷体"/>
                <w:b w:val="0"/>
                <w:bCs w:val="0"/>
                <w:sz w:val="24"/>
                <w:szCs w:val="24"/>
              </w:rPr>
            </w:pPr>
            <w:r>
              <w:rPr>
                <w:rFonts w:hint="eastAsia" w:ascii="楷体" w:hAnsi="楷体" w:eastAsia="楷体" w:cs="楷体"/>
                <w:i w:val="0"/>
                <w:color w:val="auto"/>
                <w:kern w:val="0"/>
                <w:sz w:val="24"/>
                <w:szCs w:val="24"/>
                <w:u w:val="none"/>
                <w:lang w:val="en-US" w:eastAsia="zh-CN" w:bidi="ar"/>
              </w:rPr>
              <w:t>所有一二类问题一周内无书面整改回复</w:t>
            </w:r>
          </w:p>
        </w:tc>
        <w:tc>
          <w:tcPr>
            <w:tcW w:w="1425" w:type="dxa"/>
            <w:vAlign w:val="center"/>
          </w:tcPr>
          <w:p>
            <w:pPr>
              <w:keepNext w:val="0"/>
              <w:keepLines w:val="0"/>
              <w:widowControl/>
              <w:suppressLineNumbers w:val="0"/>
              <w:jc w:val="center"/>
              <w:textAlignment w:val="center"/>
              <w:rPr>
                <w:rFonts w:hint="eastAsia" w:ascii="楷体" w:hAnsi="楷体" w:eastAsia="楷体" w:cs="楷体"/>
                <w:b w:val="0"/>
                <w:bCs w:val="0"/>
                <w:color w:val="auto"/>
                <w:sz w:val="24"/>
                <w:szCs w:val="24"/>
                <w:vertAlign w:val="baseline"/>
                <w:lang w:val="en-US" w:eastAsia="zh-CN"/>
              </w:rPr>
            </w:pPr>
            <w:r>
              <w:rPr>
                <w:rFonts w:hint="eastAsia" w:ascii="楷体" w:hAnsi="楷体" w:eastAsia="楷体" w:cs="楷体"/>
                <w:b w:val="0"/>
                <w:bCs w:val="0"/>
                <w:color w:val="auto"/>
                <w:sz w:val="24"/>
                <w:szCs w:val="24"/>
                <w:vertAlign w:val="baseline"/>
                <w:lang w:val="en-US" w:eastAsia="zh-CN"/>
              </w:rPr>
              <w:t>2000</w:t>
            </w:r>
          </w:p>
        </w:tc>
        <w:tc>
          <w:tcPr>
            <w:tcW w:w="710" w:type="dxa"/>
            <w:vAlign w:val="center"/>
          </w:tcPr>
          <w:p>
            <w:pPr>
              <w:numPr>
                <w:ilvl w:val="0"/>
                <w:numId w:val="0"/>
              </w:numPr>
              <w:spacing w:line="360" w:lineRule="auto"/>
              <w:ind w:left="0" w:leftChars="0" w:firstLine="0" w:firstLineChars="0"/>
              <w:jc w:val="center"/>
              <w:rPr>
                <w:rFonts w:hint="eastAsia" w:ascii="楷体" w:hAnsi="楷体" w:eastAsia="楷体" w:cs="楷体"/>
                <w:b w:val="0"/>
                <w:bCs w:val="0"/>
                <w:color w:val="auto"/>
                <w:sz w:val="24"/>
                <w:szCs w:val="24"/>
                <w:vertAlign w:val="baseline"/>
                <w:lang w:val="en-US" w:eastAsia="zh-CN"/>
              </w:rPr>
            </w:pPr>
            <w:r>
              <w:rPr>
                <w:rFonts w:hint="eastAsia" w:ascii="楷体" w:hAnsi="楷体" w:eastAsia="楷体" w:cs="楷体"/>
                <w:b w:val="0"/>
                <w:bCs w:val="0"/>
                <w:color w:val="auto"/>
                <w:sz w:val="24"/>
                <w:szCs w:val="24"/>
                <w:vertAlign w:val="baseline"/>
                <w:lang w:val="en-US" w:eastAsia="zh-CN"/>
              </w:rPr>
              <w:t>黄</w:t>
            </w:r>
          </w:p>
        </w:tc>
      </w:tr>
    </w:tbl>
    <w:p>
      <w:pPr>
        <w:numPr>
          <w:ilvl w:val="0"/>
          <w:numId w:val="0"/>
        </w:numPr>
        <w:spacing w:line="360" w:lineRule="auto"/>
        <w:rPr>
          <w:rFonts w:hint="eastAsia" w:ascii="华文中宋" w:hAnsi="华文中宋" w:eastAsia="华文中宋" w:cs="华文细黑"/>
          <w:b/>
          <w:bCs/>
          <w:sz w:val="24"/>
          <w:lang w:val="en-US" w:eastAsia="zh-CN"/>
        </w:rPr>
      </w:pPr>
    </w:p>
    <w:p>
      <w:pPr>
        <w:numPr>
          <w:ilvl w:val="0"/>
          <w:numId w:val="0"/>
        </w:numPr>
        <w:spacing w:line="360" w:lineRule="auto"/>
        <w:rPr>
          <w:rFonts w:hint="eastAsia" w:ascii="华文中宋" w:hAnsi="华文中宋" w:eastAsia="华文中宋" w:cs="华文细黑"/>
          <w:b/>
          <w:bCs/>
          <w:sz w:val="24"/>
          <w:lang w:val="en-US" w:eastAsia="zh-CN"/>
        </w:rPr>
      </w:pPr>
    </w:p>
    <w:p>
      <w:pPr>
        <w:numPr>
          <w:ilvl w:val="0"/>
          <w:numId w:val="0"/>
        </w:numPr>
        <w:spacing w:line="360" w:lineRule="auto"/>
        <w:rPr>
          <w:rFonts w:hint="eastAsia" w:ascii="华文中宋" w:hAnsi="华文中宋" w:eastAsia="华文中宋" w:cs="华文细黑"/>
          <w:b/>
          <w:bCs/>
          <w:sz w:val="24"/>
          <w:lang w:val="en-US" w:eastAsia="zh-CN"/>
        </w:rPr>
      </w:pPr>
    </w:p>
    <w:p>
      <w:pPr>
        <w:numPr>
          <w:ilvl w:val="0"/>
          <w:numId w:val="0"/>
        </w:numPr>
        <w:spacing w:line="360" w:lineRule="auto"/>
        <w:rPr>
          <w:rFonts w:hint="eastAsia" w:ascii="华文中宋" w:hAnsi="华文中宋" w:eastAsia="华文中宋" w:cs="华文细黑"/>
          <w:b/>
          <w:bCs/>
          <w:sz w:val="24"/>
          <w:lang w:val="en-US" w:eastAsia="zh-CN"/>
        </w:rPr>
      </w:pPr>
    </w:p>
    <w:p>
      <w:pPr>
        <w:numPr>
          <w:ilvl w:val="0"/>
          <w:numId w:val="0"/>
        </w:numPr>
        <w:spacing w:line="360" w:lineRule="auto"/>
        <w:rPr>
          <w:rFonts w:hint="eastAsia" w:ascii="华文中宋" w:hAnsi="华文中宋" w:eastAsia="华文中宋" w:cs="华文细黑"/>
          <w:b/>
          <w:bCs/>
          <w:sz w:val="24"/>
          <w:lang w:val="en-US" w:eastAsia="zh-CN"/>
        </w:rPr>
      </w:pPr>
    </w:p>
    <w:p>
      <w:pPr>
        <w:numPr>
          <w:ilvl w:val="0"/>
          <w:numId w:val="7"/>
        </w:numPr>
        <w:spacing w:line="360" w:lineRule="auto"/>
        <w:ind w:left="0" w:leftChars="0" w:firstLine="482" w:firstLineChars="200"/>
        <w:rPr>
          <w:rFonts w:hint="eastAsia" w:ascii="华文中宋" w:hAnsi="华文中宋" w:eastAsia="华文中宋" w:cs="华文细黑"/>
          <w:b/>
          <w:bCs/>
          <w:sz w:val="24"/>
          <w:lang w:val="en-US" w:eastAsia="zh-CN"/>
        </w:rPr>
      </w:pPr>
      <w:r>
        <w:rPr>
          <w:rFonts w:hint="eastAsia" w:ascii="华文中宋" w:hAnsi="华文中宋" w:eastAsia="华文中宋" w:cs="华文细黑"/>
          <w:b/>
          <w:bCs/>
          <w:sz w:val="24"/>
          <w:lang w:val="en-US" w:eastAsia="zh-CN"/>
        </w:rPr>
        <w:t>工程</w:t>
      </w:r>
      <w:r>
        <w:rPr>
          <w:rFonts w:hint="eastAsia" w:ascii="华文中宋" w:hAnsi="华文中宋" w:eastAsia="华文中宋" w:cs="华文细黑"/>
          <w:b/>
          <w:bCs/>
          <w:sz w:val="24"/>
        </w:rPr>
        <w:t>质量</w:t>
      </w:r>
      <w:r>
        <w:rPr>
          <w:rFonts w:hint="eastAsia" w:ascii="华文中宋" w:hAnsi="华文中宋" w:eastAsia="华文中宋" w:cs="华文细黑"/>
          <w:b/>
          <w:bCs/>
          <w:sz w:val="24"/>
          <w:lang w:val="en-US" w:eastAsia="zh-CN"/>
        </w:rPr>
        <w:t>一类问题项</w:t>
      </w:r>
    </w:p>
    <w:p>
      <w:pPr>
        <w:numPr>
          <w:ilvl w:val="0"/>
          <w:numId w:val="0"/>
        </w:numPr>
        <w:spacing w:line="360" w:lineRule="auto"/>
        <w:rPr>
          <w:rFonts w:hint="eastAsia" w:ascii="华文中宋" w:hAnsi="华文中宋" w:eastAsia="华文中宋" w:cs="华文细黑"/>
          <w:b/>
          <w:bCs/>
          <w:sz w:val="24"/>
          <w:lang w:val="en-US" w:eastAsia="zh-CN"/>
        </w:rPr>
      </w:pPr>
    </w:p>
    <w:tbl>
      <w:tblPr>
        <w:tblStyle w:val="6"/>
        <w:tblW w:w="95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
        <w:gridCol w:w="1335"/>
        <w:gridCol w:w="5132"/>
        <w:gridCol w:w="1356"/>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numPr>
                <w:ilvl w:val="0"/>
                <w:numId w:val="0"/>
              </w:numPr>
              <w:spacing w:line="360" w:lineRule="auto"/>
              <w:jc w:val="center"/>
              <w:rPr>
                <w:rFonts w:hint="eastAsia" w:ascii="楷体" w:hAnsi="楷体" w:eastAsia="楷体" w:cs="楷体"/>
                <w:b/>
                <w:bCs/>
                <w:sz w:val="24"/>
                <w:szCs w:val="24"/>
                <w:vertAlign w:val="baseline"/>
                <w:lang w:val="en-US" w:eastAsia="zh-CN"/>
              </w:rPr>
            </w:pPr>
            <w:r>
              <w:rPr>
                <w:rFonts w:hint="eastAsia" w:ascii="楷体" w:hAnsi="楷体" w:eastAsia="楷体" w:cs="楷体"/>
                <w:b/>
                <w:bCs/>
                <w:sz w:val="24"/>
                <w:szCs w:val="24"/>
                <w:vertAlign w:val="baseline"/>
                <w:lang w:val="en-US" w:eastAsia="zh-CN"/>
              </w:rPr>
              <w:t>序号</w:t>
            </w:r>
          </w:p>
        </w:tc>
        <w:tc>
          <w:tcPr>
            <w:tcW w:w="1335" w:type="dxa"/>
          </w:tcPr>
          <w:p>
            <w:pPr>
              <w:numPr>
                <w:ilvl w:val="0"/>
                <w:numId w:val="0"/>
              </w:numPr>
              <w:spacing w:line="360" w:lineRule="auto"/>
              <w:jc w:val="center"/>
              <w:rPr>
                <w:rFonts w:hint="eastAsia" w:ascii="楷体" w:hAnsi="楷体" w:eastAsia="楷体" w:cs="楷体"/>
                <w:b/>
                <w:bCs/>
                <w:sz w:val="24"/>
                <w:szCs w:val="24"/>
                <w:vertAlign w:val="baseline"/>
                <w:lang w:val="en-US" w:eastAsia="zh-CN"/>
              </w:rPr>
            </w:pPr>
            <w:r>
              <w:rPr>
                <w:rFonts w:hint="eastAsia" w:ascii="楷体" w:hAnsi="楷体" w:eastAsia="楷体" w:cs="楷体"/>
                <w:b/>
                <w:bCs/>
                <w:sz w:val="24"/>
                <w:szCs w:val="24"/>
                <w:vertAlign w:val="baseline"/>
                <w:lang w:val="en-US" w:eastAsia="zh-CN"/>
              </w:rPr>
              <w:t>问题类别</w:t>
            </w:r>
          </w:p>
        </w:tc>
        <w:tc>
          <w:tcPr>
            <w:tcW w:w="5132" w:type="dxa"/>
          </w:tcPr>
          <w:p>
            <w:pPr>
              <w:numPr>
                <w:ilvl w:val="0"/>
                <w:numId w:val="0"/>
              </w:numPr>
              <w:spacing w:line="360" w:lineRule="auto"/>
              <w:jc w:val="center"/>
              <w:rPr>
                <w:rFonts w:hint="eastAsia" w:ascii="楷体" w:hAnsi="楷体" w:eastAsia="楷体" w:cs="楷体"/>
                <w:b/>
                <w:bCs/>
                <w:sz w:val="24"/>
                <w:szCs w:val="24"/>
                <w:vertAlign w:val="baseline"/>
                <w:lang w:val="en-US" w:eastAsia="zh-CN"/>
              </w:rPr>
            </w:pPr>
            <w:r>
              <w:rPr>
                <w:rFonts w:hint="eastAsia" w:ascii="楷体" w:hAnsi="楷体" w:eastAsia="楷体" w:cs="楷体"/>
                <w:b/>
                <w:bCs/>
                <w:sz w:val="24"/>
                <w:szCs w:val="24"/>
                <w:vertAlign w:val="baseline"/>
                <w:lang w:val="en-US" w:eastAsia="zh-CN"/>
              </w:rPr>
              <w:t>问题列举</w:t>
            </w:r>
          </w:p>
        </w:tc>
        <w:tc>
          <w:tcPr>
            <w:tcW w:w="1356" w:type="dxa"/>
          </w:tcPr>
          <w:p>
            <w:pPr>
              <w:numPr>
                <w:ilvl w:val="0"/>
                <w:numId w:val="0"/>
              </w:numPr>
              <w:spacing w:line="360" w:lineRule="auto"/>
              <w:jc w:val="center"/>
              <w:rPr>
                <w:rFonts w:hint="eastAsia" w:ascii="楷体" w:hAnsi="楷体" w:eastAsia="楷体" w:cs="楷体"/>
                <w:b/>
                <w:bCs/>
                <w:sz w:val="24"/>
                <w:szCs w:val="24"/>
                <w:vertAlign w:val="baseline"/>
                <w:lang w:val="en-US" w:eastAsia="zh-CN"/>
              </w:rPr>
            </w:pPr>
            <w:r>
              <w:rPr>
                <w:rFonts w:hint="eastAsia" w:ascii="楷体" w:hAnsi="楷体" w:eastAsia="楷体" w:cs="楷体"/>
                <w:b/>
                <w:bCs/>
                <w:sz w:val="24"/>
                <w:szCs w:val="24"/>
                <w:vertAlign w:val="baseline"/>
                <w:lang w:val="en-US" w:eastAsia="zh-CN"/>
              </w:rPr>
              <w:t>罚款</w:t>
            </w:r>
          </w:p>
        </w:tc>
        <w:tc>
          <w:tcPr>
            <w:tcW w:w="754" w:type="dxa"/>
          </w:tcPr>
          <w:p>
            <w:pPr>
              <w:numPr>
                <w:ilvl w:val="0"/>
                <w:numId w:val="0"/>
              </w:numPr>
              <w:spacing w:line="360" w:lineRule="auto"/>
              <w:jc w:val="center"/>
              <w:rPr>
                <w:rFonts w:hint="eastAsia" w:ascii="楷体" w:hAnsi="楷体" w:eastAsia="楷体" w:cs="楷体"/>
                <w:b/>
                <w:bCs/>
                <w:sz w:val="24"/>
                <w:szCs w:val="24"/>
                <w:vertAlign w:val="baseline"/>
                <w:lang w:val="en-US" w:eastAsia="zh-CN"/>
              </w:rPr>
            </w:pPr>
            <w:r>
              <w:rPr>
                <w:rFonts w:hint="eastAsia" w:ascii="楷体" w:hAnsi="楷体" w:eastAsia="楷体" w:cs="楷体"/>
                <w:b/>
                <w:bCs/>
                <w:sz w:val="24"/>
                <w:szCs w:val="24"/>
                <w:vertAlign w:val="baseline"/>
                <w:lang w:val="en-US" w:eastAsia="zh-CN"/>
              </w:rPr>
              <w:t>红牌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vAlign w:val="center"/>
          </w:tcPr>
          <w:p>
            <w:pPr>
              <w:numPr>
                <w:ilvl w:val="0"/>
                <w:numId w:val="0"/>
              </w:numPr>
              <w:spacing w:line="24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1</w:t>
            </w:r>
          </w:p>
        </w:tc>
        <w:tc>
          <w:tcPr>
            <w:tcW w:w="1335" w:type="dxa"/>
            <w:vMerge w:val="restart"/>
            <w:vAlign w:val="center"/>
          </w:tcPr>
          <w:p>
            <w:pPr>
              <w:numPr>
                <w:ilvl w:val="0"/>
                <w:numId w:val="0"/>
              </w:numPr>
              <w:spacing w:line="24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t>基础部分</w:t>
            </w:r>
          </w:p>
        </w:tc>
        <w:tc>
          <w:tcPr>
            <w:tcW w:w="5132" w:type="dxa"/>
            <w:vAlign w:val="center"/>
          </w:tcPr>
          <w:p>
            <w:pPr>
              <w:numPr>
                <w:ilvl w:val="0"/>
                <w:numId w:val="0"/>
              </w:numPr>
              <w:spacing w:line="240" w:lineRule="auto"/>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桩基未经验收合格而浇筑底板或桩基不合格而未曾进行处理；</w:t>
            </w:r>
          </w:p>
        </w:tc>
        <w:tc>
          <w:tcPr>
            <w:tcW w:w="1356"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5000</w:t>
            </w:r>
          </w:p>
        </w:tc>
        <w:tc>
          <w:tcPr>
            <w:tcW w:w="754"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vAlign w:val="center"/>
          </w:tcPr>
          <w:p>
            <w:pPr>
              <w:numPr>
                <w:ilvl w:val="0"/>
                <w:numId w:val="0"/>
              </w:numPr>
              <w:spacing w:line="24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w:t>
            </w:r>
          </w:p>
        </w:tc>
        <w:tc>
          <w:tcPr>
            <w:tcW w:w="1335" w:type="dxa"/>
            <w:vMerge w:val="continue"/>
            <w:vAlign w:val="center"/>
          </w:tcPr>
          <w:p>
            <w:pPr>
              <w:numPr>
                <w:ilvl w:val="0"/>
                <w:numId w:val="0"/>
              </w:numPr>
              <w:spacing w:line="24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p>
        </w:tc>
        <w:tc>
          <w:tcPr>
            <w:tcW w:w="5132" w:type="dxa"/>
            <w:vAlign w:val="center"/>
          </w:tcPr>
          <w:p>
            <w:pPr>
              <w:numPr>
                <w:ilvl w:val="0"/>
                <w:numId w:val="0"/>
              </w:numPr>
              <w:spacing w:line="240" w:lineRule="auto"/>
              <w:rPr>
                <w:rFonts w:hint="eastAsia"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车库上浮至使柱梁板裂缝</w:t>
            </w:r>
          </w:p>
        </w:tc>
        <w:tc>
          <w:tcPr>
            <w:tcW w:w="1356"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5000</w:t>
            </w:r>
          </w:p>
        </w:tc>
        <w:tc>
          <w:tcPr>
            <w:tcW w:w="754"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vAlign w:val="center"/>
          </w:tcPr>
          <w:p>
            <w:pPr>
              <w:numPr>
                <w:ilvl w:val="0"/>
                <w:numId w:val="0"/>
              </w:numPr>
              <w:spacing w:line="24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3</w:t>
            </w:r>
          </w:p>
        </w:tc>
        <w:tc>
          <w:tcPr>
            <w:tcW w:w="1335" w:type="dxa"/>
            <w:vMerge w:val="continue"/>
            <w:vAlign w:val="center"/>
          </w:tcPr>
          <w:p>
            <w:pPr>
              <w:numPr>
                <w:ilvl w:val="0"/>
                <w:numId w:val="0"/>
              </w:numPr>
              <w:spacing w:line="24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p>
        </w:tc>
        <w:tc>
          <w:tcPr>
            <w:tcW w:w="5132" w:type="dxa"/>
            <w:vAlign w:val="center"/>
          </w:tcPr>
          <w:p>
            <w:pPr>
              <w:numPr>
                <w:ilvl w:val="0"/>
                <w:numId w:val="0"/>
              </w:numPr>
              <w:spacing w:line="240" w:lineRule="auto"/>
              <w:rPr>
                <w:rFonts w:hint="eastAsia" w:ascii="楷体" w:hAnsi="楷体" w:eastAsia="楷体" w:cs="楷体"/>
                <w:b w:val="0"/>
                <w:bCs w:val="0"/>
                <w:color w:val="000000" w:themeColor="text1"/>
                <w:sz w:val="24"/>
                <w:szCs w:val="24"/>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1.5m厚以上</w:t>
            </w:r>
            <w:r>
              <w:rPr>
                <w:rFonts w:hint="eastAsia" w:ascii="楷体" w:hAnsi="楷体" w:eastAsia="楷体" w:cs="楷体"/>
                <w:b w:val="0"/>
                <w:bCs w:val="0"/>
                <w:color w:val="000000" w:themeColor="text1"/>
                <w:sz w:val="24"/>
                <w:szCs w:val="24"/>
                <w14:textFill>
                  <w14:solidFill>
                    <w14:schemeClr w14:val="tx1"/>
                  </w14:solidFill>
                </w14:textFill>
              </w:rPr>
              <w:t>大体积砼</w:t>
            </w:r>
            <w:r>
              <w:rPr>
                <w:rFonts w:hint="eastAsia" w:ascii="楷体" w:hAnsi="楷体" w:eastAsia="楷体" w:cs="楷体"/>
                <w:b w:val="0"/>
                <w:bCs w:val="0"/>
                <w:color w:val="000000" w:themeColor="text1"/>
                <w:sz w:val="24"/>
                <w:szCs w:val="24"/>
                <w:lang w:val="en-US" w:eastAsia="zh-CN"/>
                <w14:textFill>
                  <w14:solidFill>
                    <w14:schemeClr w14:val="tx1"/>
                  </w14:solidFill>
                </w14:textFill>
              </w:rPr>
              <w:t>施工无任何防裂措施或已</w:t>
            </w:r>
            <w:r>
              <w:rPr>
                <w:rFonts w:hint="eastAsia" w:ascii="楷体" w:hAnsi="楷体" w:eastAsia="楷体" w:cs="楷体"/>
                <w:b w:val="0"/>
                <w:bCs w:val="0"/>
                <w:color w:val="000000" w:themeColor="text1"/>
                <w:sz w:val="24"/>
                <w:szCs w:val="24"/>
                <w14:textFill>
                  <w14:solidFill>
                    <w14:schemeClr w14:val="tx1"/>
                  </w14:solidFill>
                </w14:textFill>
              </w:rPr>
              <w:t>出现</w:t>
            </w:r>
            <w:r>
              <w:rPr>
                <w:rFonts w:hint="eastAsia" w:ascii="楷体" w:hAnsi="楷体" w:eastAsia="楷体" w:cs="楷体"/>
                <w:b w:val="0"/>
                <w:bCs w:val="0"/>
                <w:color w:val="000000" w:themeColor="text1"/>
                <w:sz w:val="24"/>
                <w:szCs w:val="24"/>
                <w:lang w:val="en-US" w:eastAsia="zh-CN"/>
                <w14:textFill>
                  <w14:solidFill>
                    <w14:schemeClr w14:val="tx1"/>
                  </w14:solidFill>
                </w14:textFill>
              </w:rPr>
              <w:t>5处以</w:t>
            </w:r>
            <w:r>
              <w:rPr>
                <w:rFonts w:hint="eastAsia" w:ascii="楷体" w:hAnsi="楷体" w:eastAsia="楷体" w:cs="楷体"/>
                <w:b w:val="0"/>
                <w:bCs w:val="0"/>
                <w:color w:val="000000" w:themeColor="text1"/>
                <w:sz w:val="24"/>
                <w:szCs w:val="24"/>
                <w14:textFill>
                  <w14:solidFill>
                    <w14:schemeClr w14:val="tx1"/>
                  </w14:solidFill>
                </w14:textFill>
              </w:rPr>
              <w:t>结构裂缝</w:t>
            </w:r>
          </w:p>
        </w:tc>
        <w:tc>
          <w:tcPr>
            <w:tcW w:w="1356"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5000（每处1000）</w:t>
            </w:r>
          </w:p>
        </w:tc>
        <w:tc>
          <w:tcPr>
            <w:tcW w:w="754"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vMerge w:val="restart"/>
            <w:vAlign w:val="center"/>
          </w:tcPr>
          <w:p>
            <w:pPr>
              <w:numPr>
                <w:ilvl w:val="0"/>
                <w:numId w:val="0"/>
              </w:numPr>
              <w:spacing w:line="24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4</w:t>
            </w:r>
          </w:p>
        </w:tc>
        <w:tc>
          <w:tcPr>
            <w:tcW w:w="1335" w:type="dxa"/>
            <w:vMerge w:val="restart"/>
            <w:vAlign w:val="center"/>
          </w:tcPr>
          <w:p>
            <w:pPr>
              <w:numPr>
                <w:ilvl w:val="0"/>
                <w:numId w:val="0"/>
              </w:numPr>
              <w:spacing w:line="24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t xml:space="preserve"> 地下室结构部分</w:t>
            </w:r>
          </w:p>
        </w:tc>
        <w:tc>
          <w:tcPr>
            <w:tcW w:w="5132" w:type="dxa"/>
            <w:vAlign w:val="center"/>
          </w:tcPr>
          <w:p>
            <w:pPr>
              <w:numPr>
                <w:ilvl w:val="0"/>
                <w:numId w:val="8"/>
              </w:numPr>
              <w:spacing w:line="240" w:lineRule="auto"/>
              <w:rPr>
                <w:rFonts w:hint="eastAsia"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顶板或筏板厚度存在3处及以上负偏差现象（楼板厚度允许误差范围1cm、筏板厚度允许误差范围3cm），1米范围认定为1处；</w:t>
            </w:r>
          </w:p>
        </w:tc>
        <w:tc>
          <w:tcPr>
            <w:tcW w:w="1356"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5000（每处1000）</w:t>
            </w:r>
          </w:p>
        </w:tc>
        <w:tc>
          <w:tcPr>
            <w:tcW w:w="754"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vMerge w:val="continue"/>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p>
        </w:tc>
        <w:tc>
          <w:tcPr>
            <w:tcW w:w="1335" w:type="dxa"/>
            <w:vMerge w:val="continue"/>
            <w:vAlign w:val="center"/>
          </w:tcPr>
          <w:p>
            <w:pPr>
              <w:numPr>
                <w:ilvl w:val="0"/>
                <w:numId w:val="0"/>
              </w:numPr>
              <w:spacing w:line="24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p>
        </w:tc>
        <w:tc>
          <w:tcPr>
            <w:tcW w:w="5132" w:type="dxa"/>
            <w:vAlign w:val="center"/>
          </w:tcPr>
          <w:p>
            <w:pPr>
              <w:numPr>
                <w:ilvl w:val="0"/>
                <w:numId w:val="8"/>
              </w:numPr>
              <w:spacing w:line="240" w:lineRule="auto"/>
              <w:rPr>
                <w:rFonts w:hint="eastAsia"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地下室混凝土浇筑完成时间不足24小时，支模架体立杆、扫地杆提前拆除（允许拆除一跨扫地杆作为施工通道）或整垮板支撑立杆间距、支架高宽比不符合施工方案的情况，或者混凝土拆模时间过早，不符合设计或规范要求；</w:t>
            </w:r>
          </w:p>
        </w:tc>
        <w:tc>
          <w:tcPr>
            <w:tcW w:w="1356" w:type="dxa"/>
            <w:vAlign w:val="center"/>
          </w:tcPr>
          <w:p>
            <w:pPr>
              <w:numPr>
                <w:ilvl w:val="0"/>
                <w:numId w:val="0"/>
              </w:numPr>
              <w:spacing w:line="240" w:lineRule="auto"/>
              <w:ind w:left="0" w:leftChars="0" w:firstLine="0" w:firstLineChars="0"/>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5000</w:t>
            </w:r>
          </w:p>
        </w:tc>
        <w:tc>
          <w:tcPr>
            <w:tcW w:w="754" w:type="dxa"/>
            <w:vAlign w:val="center"/>
          </w:tcPr>
          <w:p>
            <w:pPr>
              <w:numPr>
                <w:ilvl w:val="0"/>
                <w:numId w:val="0"/>
              </w:numPr>
              <w:spacing w:line="240" w:lineRule="auto"/>
              <w:ind w:left="0" w:leftChars="0" w:firstLine="0" w:firstLineChars="0"/>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vMerge w:val="continue"/>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p>
        </w:tc>
        <w:tc>
          <w:tcPr>
            <w:tcW w:w="1335" w:type="dxa"/>
            <w:vMerge w:val="continue"/>
            <w:vAlign w:val="center"/>
          </w:tcPr>
          <w:p>
            <w:pPr>
              <w:numPr>
                <w:ilvl w:val="0"/>
                <w:numId w:val="0"/>
              </w:numPr>
              <w:spacing w:line="24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p>
        </w:tc>
        <w:tc>
          <w:tcPr>
            <w:tcW w:w="5132" w:type="dxa"/>
            <w:vAlign w:val="center"/>
          </w:tcPr>
          <w:p>
            <w:pPr>
              <w:numPr>
                <w:ilvl w:val="0"/>
                <w:numId w:val="8"/>
              </w:numPr>
              <w:spacing w:line="240" w:lineRule="auto"/>
              <w:rPr>
                <w:rFonts w:hint="eastAsia"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地下室主体结构存在主筋漏设3处及以上现象，随意切除、破坏主筋5处及以上现象</w:t>
            </w:r>
          </w:p>
        </w:tc>
        <w:tc>
          <w:tcPr>
            <w:tcW w:w="1356" w:type="dxa"/>
            <w:vAlign w:val="center"/>
          </w:tcPr>
          <w:p>
            <w:pPr>
              <w:numPr>
                <w:ilvl w:val="0"/>
                <w:numId w:val="0"/>
              </w:numPr>
              <w:spacing w:line="240" w:lineRule="auto"/>
              <w:ind w:left="0" w:leftChars="0" w:firstLine="0" w:firstLineChars="0"/>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5000（每处1000）</w:t>
            </w:r>
          </w:p>
        </w:tc>
        <w:tc>
          <w:tcPr>
            <w:tcW w:w="754" w:type="dxa"/>
            <w:vAlign w:val="center"/>
          </w:tcPr>
          <w:p>
            <w:pPr>
              <w:numPr>
                <w:ilvl w:val="0"/>
                <w:numId w:val="0"/>
              </w:numPr>
              <w:spacing w:line="240" w:lineRule="auto"/>
              <w:ind w:left="0" w:leftChars="0" w:firstLine="0" w:firstLineChars="0"/>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vMerge w:val="continue"/>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p>
        </w:tc>
        <w:tc>
          <w:tcPr>
            <w:tcW w:w="1335" w:type="dxa"/>
            <w:vMerge w:val="continue"/>
            <w:vAlign w:val="center"/>
          </w:tcPr>
          <w:p>
            <w:pPr>
              <w:numPr>
                <w:ilvl w:val="0"/>
                <w:numId w:val="0"/>
              </w:numPr>
              <w:spacing w:line="24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p>
        </w:tc>
        <w:tc>
          <w:tcPr>
            <w:tcW w:w="5132" w:type="dxa"/>
            <w:vAlign w:val="center"/>
          </w:tcPr>
          <w:p>
            <w:pPr>
              <w:numPr>
                <w:ilvl w:val="0"/>
                <w:numId w:val="8"/>
              </w:numPr>
              <w:spacing w:line="240" w:lineRule="auto"/>
              <w:rPr>
                <w:rFonts w:hint="eastAsia"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地下室顶板在施工过程中的荷载超过设计单位确认的荷载时，无专项加强措施方案或未按照措施执行；如</w:t>
            </w:r>
            <w:r>
              <w:rPr>
                <w:rFonts w:hint="eastAsia" w:ascii="楷体" w:hAnsi="楷体" w:eastAsia="楷体" w:cs="楷体"/>
                <w:b w:val="0"/>
                <w:bCs w:val="0"/>
                <w:color w:val="000000" w:themeColor="text1"/>
                <w:sz w:val="24"/>
                <w:szCs w:val="24"/>
                <w14:textFill>
                  <w14:solidFill>
                    <w14:schemeClr w14:val="tx1"/>
                  </w14:solidFill>
                </w14:textFill>
              </w:rPr>
              <w:t>车库顶板回填土一次性堆土超过图纸设计高度，大型机械运土车、大型挖土机、砼运输车、汽车泵</w:t>
            </w:r>
            <w:r>
              <w:rPr>
                <w:rFonts w:hint="eastAsia" w:ascii="楷体" w:hAnsi="楷体" w:eastAsia="楷体" w:cs="楷体"/>
                <w:b w:val="0"/>
                <w:bCs w:val="0"/>
                <w:color w:val="000000" w:themeColor="text1"/>
                <w:sz w:val="24"/>
                <w:szCs w:val="24"/>
                <w:lang w:eastAsia="zh-CN"/>
                <w14:textFill>
                  <w14:solidFill>
                    <w14:schemeClr w14:val="tx1"/>
                  </w14:solidFill>
                </w14:textFill>
              </w:rPr>
              <w:t>、</w:t>
            </w:r>
            <w:r>
              <w:rPr>
                <w:rFonts w:hint="eastAsia" w:ascii="楷体" w:hAnsi="楷体" w:eastAsia="楷体" w:cs="楷体"/>
                <w:b w:val="0"/>
                <w:bCs w:val="0"/>
                <w:color w:val="000000" w:themeColor="text1"/>
                <w:sz w:val="24"/>
                <w:szCs w:val="24"/>
                <w:lang w:val="en-US" w:eastAsia="zh-CN"/>
                <w14:textFill>
                  <w14:solidFill>
                    <w14:schemeClr w14:val="tx1"/>
                  </w14:solidFill>
                </w14:textFill>
              </w:rPr>
              <w:t>PC构件堆放及运输</w:t>
            </w:r>
            <w:r>
              <w:rPr>
                <w:rFonts w:hint="eastAsia" w:ascii="楷体" w:hAnsi="楷体" w:eastAsia="楷体" w:cs="楷体"/>
                <w:b w:val="0"/>
                <w:bCs w:val="0"/>
                <w:color w:val="000000" w:themeColor="text1"/>
                <w:sz w:val="24"/>
                <w:szCs w:val="24"/>
                <w14:textFill>
                  <w14:solidFill>
                    <w14:schemeClr w14:val="tx1"/>
                  </w14:solidFill>
                </w14:textFill>
              </w:rPr>
              <w:t>等在没有加固措施的情况下，直接上车库顶板上</w:t>
            </w:r>
          </w:p>
        </w:tc>
        <w:tc>
          <w:tcPr>
            <w:tcW w:w="1356" w:type="dxa"/>
            <w:vAlign w:val="center"/>
          </w:tcPr>
          <w:p>
            <w:pPr>
              <w:numPr>
                <w:ilvl w:val="0"/>
                <w:numId w:val="0"/>
              </w:numPr>
              <w:spacing w:line="240" w:lineRule="auto"/>
              <w:ind w:left="0" w:leftChars="0" w:firstLine="0" w:firstLineChars="0"/>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5000</w:t>
            </w:r>
          </w:p>
        </w:tc>
        <w:tc>
          <w:tcPr>
            <w:tcW w:w="754" w:type="dxa"/>
            <w:vAlign w:val="center"/>
          </w:tcPr>
          <w:p>
            <w:pPr>
              <w:numPr>
                <w:ilvl w:val="0"/>
                <w:numId w:val="0"/>
              </w:numPr>
              <w:spacing w:line="240" w:lineRule="auto"/>
              <w:ind w:left="0" w:leftChars="0" w:firstLine="0" w:firstLineChars="0"/>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vMerge w:val="continue"/>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p>
        </w:tc>
        <w:tc>
          <w:tcPr>
            <w:tcW w:w="1335" w:type="dxa"/>
            <w:vMerge w:val="continue"/>
            <w:vAlign w:val="center"/>
          </w:tcPr>
          <w:p>
            <w:pPr>
              <w:numPr>
                <w:ilvl w:val="0"/>
                <w:numId w:val="0"/>
              </w:numPr>
              <w:spacing w:line="24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p>
        </w:tc>
        <w:tc>
          <w:tcPr>
            <w:tcW w:w="5132" w:type="dxa"/>
            <w:vAlign w:val="center"/>
          </w:tcPr>
          <w:p>
            <w:pPr>
              <w:numPr>
                <w:ilvl w:val="0"/>
                <w:numId w:val="8"/>
              </w:numPr>
              <w:spacing w:line="240" w:lineRule="auto"/>
              <w:rPr>
                <w:rFonts w:hint="eastAsia"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地下室顶板或外墙混凝土强度未达到设计要求，顶板提前回填或外墙提前回填量达整条边总回填量的1/3及以上</w:t>
            </w:r>
          </w:p>
        </w:tc>
        <w:tc>
          <w:tcPr>
            <w:tcW w:w="1356" w:type="dxa"/>
            <w:vAlign w:val="center"/>
          </w:tcPr>
          <w:p>
            <w:pPr>
              <w:numPr>
                <w:ilvl w:val="0"/>
                <w:numId w:val="0"/>
              </w:numPr>
              <w:spacing w:line="240" w:lineRule="auto"/>
              <w:ind w:left="0" w:leftChars="0" w:firstLine="0" w:firstLineChars="0"/>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5000</w:t>
            </w:r>
          </w:p>
        </w:tc>
        <w:tc>
          <w:tcPr>
            <w:tcW w:w="754" w:type="dxa"/>
            <w:vAlign w:val="center"/>
          </w:tcPr>
          <w:p>
            <w:pPr>
              <w:numPr>
                <w:ilvl w:val="0"/>
                <w:numId w:val="0"/>
              </w:numPr>
              <w:spacing w:line="240" w:lineRule="auto"/>
              <w:ind w:left="0" w:leftChars="0" w:firstLine="0" w:firstLineChars="0"/>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966" w:type="dxa"/>
            <w:vAlign w:val="center"/>
          </w:tcPr>
          <w:p>
            <w:pPr>
              <w:numPr>
                <w:ilvl w:val="0"/>
                <w:numId w:val="0"/>
              </w:numPr>
              <w:spacing w:line="24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5</w:t>
            </w:r>
          </w:p>
        </w:tc>
        <w:tc>
          <w:tcPr>
            <w:tcW w:w="1335" w:type="dxa"/>
            <w:vMerge w:val="restart"/>
            <w:vAlign w:val="center"/>
          </w:tcPr>
          <w:p>
            <w:pPr>
              <w:numPr>
                <w:ilvl w:val="0"/>
                <w:numId w:val="0"/>
              </w:numPr>
              <w:spacing w:line="24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t>钢筋</w:t>
            </w:r>
          </w:p>
        </w:tc>
        <w:tc>
          <w:tcPr>
            <w:tcW w:w="5132" w:type="dxa"/>
            <w:vAlign w:val="center"/>
          </w:tcPr>
          <w:p>
            <w:pPr>
              <w:numPr>
                <w:ilvl w:val="0"/>
                <w:numId w:val="0"/>
              </w:numPr>
              <w:spacing w:line="240" w:lineRule="auto"/>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14:textFill>
                  <w14:solidFill>
                    <w14:schemeClr w14:val="tx1"/>
                  </w14:solidFill>
                </w14:textFill>
              </w:rPr>
              <w:t>钢筋没有检验合格就使用</w:t>
            </w:r>
          </w:p>
        </w:tc>
        <w:tc>
          <w:tcPr>
            <w:tcW w:w="1356"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5000</w:t>
            </w:r>
          </w:p>
        </w:tc>
        <w:tc>
          <w:tcPr>
            <w:tcW w:w="754"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966" w:type="dxa"/>
            <w:vAlign w:val="center"/>
          </w:tcPr>
          <w:p>
            <w:pPr>
              <w:numPr>
                <w:ilvl w:val="0"/>
                <w:numId w:val="0"/>
              </w:numPr>
              <w:spacing w:line="24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6</w:t>
            </w:r>
          </w:p>
        </w:tc>
        <w:tc>
          <w:tcPr>
            <w:tcW w:w="1335" w:type="dxa"/>
            <w:vMerge w:val="continue"/>
          </w:tcPr>
          <w:p>
            <w:pPr>
              <w:numPr>
                <w:ilvl w:val="0"/>
                <w:numId w:val="0"/>
              </w:numPr>
              <w:spacing w:line="24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p>
        </w:tc>
        <w:tc>
          <w:tcPr>
            <w:tcW w:w="5132" w:type="dxa"/>
            <w:vAlign w:val="center"/>
          </w:tcPr>
          <w:p>
            <w:pPr>
              <w:numPr>
                <w:ilvl w:val="0"/>
                <w:numId w:val="0"/>
              </w:numPr>
              <w:spacing w:line="240" w:lineRule="auto"/>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14:textFill>
                  <w14:solidFill>
                    <w14:schemeClr w14:val="tx1"/>
                  </w14:solidFill>
                </w14:textFill>
              </w:rPr>
              <w:t>直螺纹套筒、电渣压力焊</w:t>
            </w:r>
            <w:r>
              <w:rPr>
                <w:rFonts w:hint="eastAsia" w:ascii="楷体" w:hAnsi="楷体" w:eastAsia="楷体" w:cs="楷体"/>
                <w:b w:val="0"/>
                <w:bCs w:val="0"/>
                <w:color w:val="000000" w:themeColor="text1"/>
                <w:sz w:val="24"/>
                <w:szCs w:val="24"/>
                <w:lang w:val="en-US" w:eastAsia="zh-CN"/>
                <w14:textFill>
                  <w14:solidFill>
                    <w14:schemeClr w14:val="tx1"/>
                  </w14:solidFill>
                </w14:textFill>
              </w:rPr>
              <w:t>检验不合格而浇砼</w:t>
            </w:r>
          </w:p>
        </w:tc>
        <w:tc>
          <w:tcPr>
            <w:tcW w:w="1356"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5000</w:t>
            </w:r>
          </w:p>
        </w:tc>
        <w:tc>
          <w:tcPr>
            <w:tcW w:w="754"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966" w:type="dxa"/>
            <w:vAlign w:val="center"/>
          </w:tcPr>
          <w:p>
            <w:pPr>
              <w:numPr>
                <w:ilvl w:val="0"/>
                <w:numId w:val="0"/>
              </w:numPr>
              <w:spacing w:line="24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7</w:t>
            </w:r>
          </w:p>
        </w:tc>
        <w:tc>
          <w:tcPr>
            <w:tcW w:w="1335" w:type="dxa"/>
            <w:vMerge w:val="continue"/>
          </w:tcPr>
          <w:p>
            <w:pPr>
              <w:numPr>
                <w:ilvl w:val="0"/>
                <w:numId w:val="0"/>
              </w:numPr>
              <w:spacing w:line="24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p>
        </w:tc>
        <w:tc>
          <w:tcPr>
            <w:tcW w:w="5132" w:type="dxa"/>
            <w:vAlign w:val="center"/>
          </w:tcPr>
          <w:p>
            <w:pPr>
              <w:numPr>
                <w:ilvl w:val="0"/>
                <w:numId w:val="0"/>
              </w:numPr>
              <w:spacing w:line="240" w:lineRule="auto"/>
              <w:rPr>
                <w:rFonts w:hint="eastAsia" w:ascii="楷体" w:hAnsi="楷体" w:eastAsia="楷体" w:cs="楷体"/>
                <w:b w:val="0"/>
                <w:bCs w:val="0"/>
                <w:color w:val="000000" w:themeColor="text1"/>
                <w:sz w:val="24"/>
                <w:szCs w:val="24"/>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现场悬臂构件配筋检查与图纸不一致（偏小）</w:t>
            </w:r>
          </w:p>
        </w:tc>
        <w:tc>
          <w:tcPr>
            <w:tcW w:w="1356"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5000</w:t>
            </w:r>
          </w:p>
        </w:tc>
        <w:tc>
          <w:tcPr>
            <w:tcW w:w="754"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vAlign w:val="center"/>
          </w:tcPr>
          <w:p>
            <w:pPr>
              <w:numPr>
                <w:ilvl w:val="0"/>
                <w:numId w:val="0"/>
              </w:numPr>
              <w:spacing w:line="24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8</w:t>
            </w:r>
          </w:p>
        </w:tc>
        <w:tc>
          <w:tcPr>
            <w:tcW w:w="1335" w:type="dxa"/>
            <w:vMerge w:val="continue"/>
          </w:tcPr>
          <w:p>
            <w:pPr>
              <w:numPr>
                <w:ilvl w:val="0"/>
                <w:numId w:val="0"/>
              </w:numPr>
              <w:spacing w:line="24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p>
        </w:tc>
        <w:tc>
          <w:tcPr>
            <w:tcW w:w="5132" w:type="dxa"/>
            <w:vAlign w:val="center"/>
          </w:tcPr>
          <w:p>
            <w:pPr>
              <w:numPr>
                <w:ilvl w:val="0"/>
                <w:numId w:val="0"/>
              </w:numPr>
              <w:spacing w:line="240" w:lineRule="auto"/>
              <w:rPr>
                <w:rFonts w:hint="default"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悬挑构件上层钢筋保护层厚度超过图纸和规范要求2倍及以上</w:t>
            </w:r>
          </w:p>
          <w:p>
            <w:pPr>
              <w:numPr>
                <w:ilvl w:val="0"/>
                <w:numId w:val="0"/>
              </w:numPr>
              <w:spacing w:line="240" w:lineRule="auto"/>
              <w:rPr>
                <w:rFonts w:hint="default"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合2块板及以上</w:t>
            </w:r>
          </w:p>
        </w:tc>
        <w:tc>
          <w:tcPr>
            <w:tcW w:w="1356"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5000</w:t>
            </w:r>
          </w:p>
        </w:tc>
        <w:tc>
          <w:tcPr>
            <w:tcW w:w="754"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vAlign w:val="center"/>
          </w:tcPr>
          <w:p>
            <w:pPr>
              <w:numPr>
                <w:ilvl w:val="0"/>
                <w:numId w:val="0"/>
              </w:numPr>
              <w:spacing w:line="24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9</w:t>
            </w:r>
          </w:p>
        </w:tc>
        <w:tc>
          <w:tcPr>
            <w:tcW w:w="1335" w:type="dxa"/>
            <w:vAlign w:val="center"/>
          </w:tcPr>
          <w:p>
            <w:pPr>
              <w:numPr>
                <w:ilvl w:val="0"/>
                <w:numId w:val="0"/>
              </w:numPr>
              <w:spacing w:line="240" w:lineRule="auto"/>
              <w:ind w:left="0" w:leftChars="0" w:firstLine="0" w:firstLineChars="0"/>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t>模板支撑</w:t>
            </w:r>
          </w:p>
        </w:tc>
        <w:tc>
          <w:tcPr>
            <w:tcW w:w="5132" w:type="dxa"/>
            <w:vAlign w:val="center"/>
          </w:tcPr>
          <w:p>
            <w:pPr>
              <w:numPr>
                <w:ilvl w:val="0"/>
                <w:numId w:val="0"/>
              </w:numPr>
              <w:spacing w:line="240" w:lineRule="auto"/>
              <w:ind w:left="0" w:leftChars="0" w:firstLine="0" w:firstLineChars="0"/>
              <w:rPr>
                <w:rFonts w:hint="eastAsia"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悬臂构件支撑过早拆除或过早上载，3个构件以上</w:t>
            </w:r>
          </w:p>
        </w:tc>
        <w:tc>
          <w:tcPr>
            <w:tcW w:w="1356"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5000（每处1000）</w:t>
            </w:r>
          </w:p>
        </w:tc>
        <w:tc>
          <w:tcPr>
            <w:tcW w:w="754"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966" w:type="dxa"/>
            <w:vAlign w:val="center"/>
          </w:tcPr>
          <w:p>
            <w:pPr>
              <w:numPr>
                <w:ilvl w:val="0"/>
                <w:numId w:val="0"/>
              </w:numPr>
              <w:spacing w:line="24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10</w:t>
            </w:r>
          </w:p>
        </w:tc>
        <w:tc>
          <w:tcPr>
            <w:tcW w:w="1335" w:type="dxa"/>
            <w:vAlign w:val="center"/>
          </w:tcPr>
          <w:p>
            <w:pPr>
              <w:numPr>
                <w:ilvl w:val="0"/>
                <w:numId w:val="0"/>
              </w:numPr>
              <w:spacing w:line="240" w:lineRule="auto"/>
              <w:ind w:left="0" w:leftChars="0" w:firstLine="0" w:firstLineChars="0"/>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t>混凝土</w:t>
            </w:r>
          </w:p>
        </w:tc>
        <w:tc>
          <w:tcPr>
            <w:tcW w:w="5132" w:type="dxa"/>
            <w:vAlign w:val="center"/>
          </w:tcPr>
          <w:p>
            <w:pPr>
              <w:numPr>
                <w:ilvl w:val="0"/>
                <w:numId w:val="0"/>
              </w:numPr>
              <w:spacing w:line="240" w:lineRule="auto"/>
              <w:ind w:left="0" w:leftChars="0" w:firstLine="0" w:firstLineChars="0"/>
              <w:rPr>
                <w:rFonts w:hint="eastAsia" w:ascii="楷体" w:hAnsi="楷体" w:eastAsia="楷体" w:cs="楷体"/>
                <w:b w:val="0"/>
                <w:bCs w:val="0"/>
                <w:color w:val="000000" w:themeColor="text1"/>
                <w:kern w:val="2"/>
                <w:sz w:val="24"/>
                <w:szCs w:val="24"/>
                <w:vertAlign w:val="baseline"/>
                <w:lang w:val="en-US" w:eastAsia="zh-CN" w:bidi="ar-SA"/>
                <w14:textFill>
                  <w14:solidFill>
                    <w14:schemeClr w14:val="tx1"/>
                  </w14:solidFill>
                </w14:textFill>
              </w:rPr>
            </w:pPr>
            <w:r>
              <w:rPr>
                <w:rFonts w:hint="eastAsia" w:ascii="楷体" w:hAnsi="楷体" w:eastAsia="楷体" w:cs="楷体"/>
                <w:b w:val="0"/>
                <w:bCs w:val="0"/>
                <w:color w:val="000000" w:themeColor="text1"/>
                <w:sz w:val="24"/>
                <w:szCs w:val="24"/>
                <w14:textFill>
                  <w14:solidFill>
                    <w14:schemeClr w14:val="tx1"/>
                  </w14:solidFill>
                </w14:textFill>
              </w:rPr>
              <w:t>砼结构实体混凝土强度回弹不合格</w:t>
            </w:r>
            <w:r>
              <w:rPr>
                <w:rFonts w:hint="eastAsia" w:ascii="楷体" w:hAnsi="楷体" w:eastAsia="楷体" w:cs="楷体"/>
                <w:b w:val="0"/>
                <w:bCs w:val="0"/>
                <w:color w:val="000000" w:themeColor="text1"/>
                <w:sz w:val="24"/>
                <w:szCs w:val="24"/>
                <w:lang w:eastAsia="zh-CN"/>
                <w14:textFill>
                  <w14:solidFill>
                    <w14:schemeClr w14:val="tx1"/>
                  </w14:solidFill>
                </w14:textFill>
              </w:rPr>
              <w:t>，</w:t>
            </w:r>
            <w:r>
              <w:rPr>
                <w:rFonts w:hint="eastAsia" w:ascii="楷体" w:hAnsi="楷体" w:eastAsia="楷体" w:cs="楷体"/>
                <w:b w:val="0"/>
                <w:bCs w:val="0"/>
                <w:color w:val="000000" w:themeColor="text1"/>
                <w:sz w:val="24"/>
                <w:szCs w:val="24"/>
                <w:lang w:val="en-US" w:eastAsia="zh-CN"/>
                <w14:textFill>
                  <w14:solidFill>
                    <w14:schemeClr w14:val="tx1"/>
                  </w14:solidFill>
                </w14:textFill>
              </w:rPr>
              <w:t>且</w:t>
            </w: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低于设计强度等级6MPa以上</w:t>
            </w:r>
            <w:r>
              <w:rPr>
                <w:rFonts w:hint="eastAsia" w:ascii="楷体" w:hAnsi="楷体" w:eastAsia="楷体" w:cs="楷体"/>
                <w:b w:val="0"/>
                <w:bCs w:val="0"/>
                <w:color w:val="000000" w:themeColor="text1"/>
                <w:sz w:val="24"/>
                <w:szCs w:val="24"/>
                <w14:textFill>
                  <w14:solidFill>
                    <w14:schemeClr w14:val="tx1"/>
                  </w14:solidFill>
                </w14:textFill>
              </w:rPr>
              <w:t>，或经取芯试验仍不符合规定要求。</w:t>
            </w:r>
            <w:r>
              <w:rPr>
                <w:rFonts w:hint="eastAsia" w:ascii="楷体" w:hAnsi="楷体" w:eastAsia="楷体" w:cs="楷体"/>
                <w:b w:val="0"/>
                <w:bCs w:val="0"/>
                <w:color w:val="000000" w:themeColor="text1"/>
                <w:sz w:val="24"/>
                <w:szCs w:val="24"/>
                <w:lang w:val="en-US" w:eastAsia="zh-CN"/>
                <w14:textFill>
                  <w14:solidFill>
                    <w14:schemeClr w14:val="tx1"/>
                  </w14:solidFill>
                </w14:textFill>
              </w:rPr>
              <w:t>3个构件以上</w:t>
            </w:r>
          </w:p>
        </w:tc>
        <w:tc>
          <w:tcPr>
            <w:tcW w:w="1356" w:type="dxa"/>
            <w:vAlign w:val="center"/>
          </w:tcPr>
          <w:p>
            <w:pPr>
              <w:numPr>
                <w:ilvl w:val="0"/>
                <w:numId w:val="0"/>
              </w:numPr>
              <w:spacing w:line="240" w:lineRule="auto"/>
              <w:ind w:left="0" w:leftChars="0" w:firstLine="0" w:firstLineChars="0"/>
              <w:jc w:val="center"/>
              <w:rPr>
                <w:rFonts w:hint="eastAsia" w:ascii="楷体" w:hAnsi="楷体" w:eastAsia="楷体" w:cs="楷体"/>
                <w:b w:val="0"/>
                <w:bCs w:val="0"/>
                <w:color w:val="000000" w:themeColor="text1"/>
                <w:kern w:val="2"/>
                <w:sz w:val="24"/>
                <w:szCs w:val="24"/>
                <w:vertAlign w:val="baseline"/>
                <w:lang w:val="en-US" w:eastAsia="zh-CN" w:bidi="ar-SA"/>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5000（每处1000）</w:t>
            </w:r>
          </w:p>
        </w:tc>
        <w:tc>
          <w:tcPr>
            <w:tcW w:w="754" w:type="dxa"/>
            <w:vAlign w:val="center"/>
          </w:tcPr>
          <w:p>
            <w:pPr>
              <w:numPr>
                <w:ilvl w:val="0"/>
                <w:numId w:val="0"/>
              </w:numPr>
              <w:spacing w:line="240" w:lineRule="auto"/>
              <w:ind w:left="0" w:leftChars="0" w:firstLine="0" w:firstLineChars="0"/>
              <w:jc w:val="center"/>
              <w:rPr>
                <w:rFonts w:hint="eastAsia" w:ascii="楷体" w:hAnsi="楷体" w:eastAsia="楷体" w:cs="楷体"/>
                <w:b w:val="0"/>
                <w:bCs w:val="0"/>
                <w:color w:val="000000" w:themeColor="text1"/>
                <w:kern w:val="2"/>
                <w:sz w:val="24"/>
                <w:szCs w:val="24"/>
                <w:vertAlign w:val="baseline"/>
                <w:lang w:val="en-US" w:eastAsia="zh-CN" w:bidi="ar-SA"/>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6" w:type="dxa"/>
            <w:vAlign w:val="center"/>
          </w:tcPr>
          <w:p>
            <w:pPr>
              <w:numPr>
                <w:ilvl w:val="0"/>
                <w:numId w:val="0"/>
              </w:numPr>
              <w:spacing w:line="360" w:lineRule="auto"/>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11</w:t>
            </w:r>
          </w:p>
        </w:tc>
        <w:tc>
          <w:tcPr>
            <w:tcW w:w="1335" w:type="dxa"/>
            <w:vMerge w:val="restart"/>
            <w:vAlign w:val="center"/>
          </w:tcPr>
          <w:p>
            <w:pPr>
              <w:numPr>
                <w:ilvl w:val="0"/>
                <w:numId w:val="0"/>
              </w:numPr>
              <w:spacing w:line="360" w:lineRule="auto"/>
              <w:jc w:val="center"/>
              <w:rPr>
                <w:rFonts w:hint="eastAsia" w:ascii="楷体" w:hAnsi="楷体" w:eastAsia="楷体" w:cs="楷体"/>
                <w:b/>
                <w:bCs/>
                <w:sz w:val="24"/>
                <w:szCs w:val="24"/>
                <w:vertAlign w:val="baseline"/>
                <w:lang w:val="en-US" w:eastAsia="zh-CN"/>
              </w:rPr>
            </w:pPr>
            <w:r>
              <w:rPr>
                <w:rFonts w:hint="eastAsia" w:ascii="楷体" w:hAnsi="楷体" w:eastAsia="楷体" w:cs="楷体"/>
                <w:b/>
                <w:bCs/>
                <w:sz w:val="24"/>
                <w:szCs w:val="24"/>
                <w:vertAlign w:val="baseline"/>
                <w:lang w:val="en-US" w:eastAsia="zh-CN"/>
              </w:rPr>
              <w:t>结构构件</w:t>
            </w:r>
          </w:p>
        </w:tc>
        <w:tc>
          <w:tcPr>
            <w:tcW w:w="5132" w:type="dxa"/>
            <w:vAlign w:val="center"/>
          </w:tcPr>
          <w:p>
            <w:pPr>
              <w:spacing w:line="240" w:lineRule="auto"/>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后增补的悬挑结构与主体结构的连接禁止采用后植筋方式</w:t>
            </w:r>
          </w:p>
        </w:tc>
        <w:tc>
          <w:tcPr>
            <w:tcW w:w="1356" w:type="dxa"/>
            <w:vAlign w:val="center"/>
          </w:tcPr>
          <w:p>
            <w:pPr>
              <w:numPr>
                <w:ilvl w:val="0"/>
                <w:numId w:val="0"/>
              </w:numPr>
              <w:spacing w:line="360" w:lineRule="auto"/>
              <w:ind w:left="0" w:leftChars="0" w:firstLine="0" w:firstLineChars="0"/>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5000</w:t>
            </w:r>
          </w:p>
        </w:tc>
        <w:tc>
          <w:tcPr>
            <w:tcW w:w="754" w:type="dxa"/>
            <w:vAlign w:val="center"/>
          </w:tcPr>
          <w:p>
            <w:pPr>
              <w:numPr>
                <w:ilvl w:val="0"/>
                <w:numId w:val="0"/>
              </w:numPr>
              <w:spacing w:line="360" w:lineRule="auto"/>
              <w:ind w:left="0" w:leftChars="0" w:firstLine="0" w:firstLineChars="0"/>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vAlign w:val="center"/>
          </w:tcPr>
          <w:p>
            <w:pPr>
              <w:numPr>
                <w:ilvl w:val="0"/>
                <w:numId w:val="0"/>
              </w:numPr>
              <w:spacing w:line="24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sz w:val="24"/>
              </w:rPr>
              <mc:AlternateContent>
                <mc:Choice Requires="wps">
                  <w:drawing>
                    <wp:anchor distT="0" distB="0" distL="114300" distR="114300" simplePos="0" relativeHeight="251667456" behindDoc="0" locked="0" layoutInCell="1" allowOverlap="1">
                      <wp:simplePos x="0" y="0"/>
                      <wp:positionH relativeFrom="column">
                        <wp:posOffset>68580</wp:posOffset>
                      </wp:positionH>
                      <wp:positionV relativeFrom="paragraph">
                        <wp:posOffset>340360</wp:posOffset>
                      </wp:positionV>
                      <wp:extent cx="389255" cy="325120"/>
                      <wp:effectExtent l="0" t="0" r="10795" b="17780"/>
                      <wp:wrapNone/>
                      <wp:docPr id="11" name="文本框 11"/>
                      <wp:cNvGraphicFramePr/>
                      <a:graphic xmlns:a="http://schemas.openxmlformats.org/drawingml/2006/main">
                        <a:graphicData uri="http://schemas.microsoft.com/office/word/2010/wordprocessingShape">
                          <wps:wsp>
                            <wps:cNvSpPr txBox="1"/>
                            <wps:spPr>
                              <a:xfrm>
                                <a:off x="792480" y="1260475"/>
                                <a:ext cx="389255" cy="3251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楷体" w:hAnsi="楷体" w:eastAsia="楷体" w:cs="楷体"/>
                                      <w:sz w:val="24"/>
                                      <w:szCs w:val="32"/>
                                      <w:lang w:val="en-US" w:eastAsia="zh-CN"/>
                                    </w:rPr>
                                  </w:pPr>
                                  <w:r>
                                    <w:rPr>
                                      <w:rFonts w:hint="eastAsia" w:ascii="楷体" w:hAnsi="楷体" w:eastAsia="楷体" w:cs="楷体"/>
                                      <w:sz w:val="24"/>
                                      <w:szCs w:val="32"/>
                                      <w:lang w:val="en-US" w:eastAsia="zh-CN"/>
                                    </w:rPr>
                                    <w:t>12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pt;margin-top:26.8pt;height:25.6pt;width:30.65pt;z-index:251667456;mso-width-relative:page;mso-height-relative:page;" fillcolor="#FFFFFF [3201]" filled="t" stroked="f" coordsize="21600,21600" o:gfxdata="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duHTtdMA&#10;AAAIAQAADwAAAAAAAAABACAAAAAiAAAAZHJzL2Rvd25yZXYueG1sUEsBAhQAFAAAAAgAh07iQDnq&#10;ohBdAgAAmwQAAA4AAAAAAAAAAQAgAAAAIgEAAGRycy9lMm9Eb2MueG1sUEsFBgAAAAAGAAYAWQEA&#10;APEFAAAAAA==&#10;">
                      <v:fill on="t" focussize="0,0"/>
                      <v:stroke on="f" weight="0.5pt"/>
                      <v:imagedata o:title=""/>
                      <o:lock v:ext="edit" aspectratio="f"/>
                      <v:textbox>
                        <w:txbxContent>
                          <w:p>
                            <w:pPr>
                              <w:rPr>
                                <w:rFonts w:hint="eastAsia" w:ascii="楷体" w:hAnsi="楷体" w:eastAsia="楷体" w:cs="楷体"/>
                                <w:sz w:val="24"/>
                                <w:szCs w:val="32"/>
                                <w:lang w:val="en-US" w:eastAsia="zh-CN"/>
                              </w:rPr>
                            </w:pPr>
                            <w:r>
                              <w:rPr>
                                <w:rFonts w:hint="eastAsia" w:ascii="楷体" w:hAnsi="楷体" w:eastAsia="楷体" w:cs="楷体"/>
                                <w:sz w:val="24"/>
                                <w:szCs w:val="32"/>
                                <w:lang w:val="en-US" w:eastAsia="zh-CN"/>
                              </w:rPr>
                              <w:t>12</w:t>
                            </w:r>
                          </w:p>
                        </w:txbxContent>
                      </v:textbox>
                    </v:shape>
                  </w:pict>
                </mc:Fallback>
              </mc:AlternateContent>
            </w:r>
            <w:r>
              <w:rPr>
                <w:color w:val="000000" w:themeColor="text1"/>
                <w:sz w:val="24"/>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720725</wp:posOffset>
                      </wp:positionH>
                      <wp:positionV relativeFrom="paragraph">
                        <wp:posOffset>215900</wp:posOffset>
                      </wp:positionV>
                      <wp:extent cx="649605" cy="570230"/>
                      <wp:effectExtent l="0" t="0" r="17145" b="1270"/>
                      <wp:wrapNone/>
                      <wp:docPr id="10" name="文本框 10"/>
                      <wp:cNvGraphicFramePr/>
                      <a:graphic xmlns:a="http://schemas.openxmlformats.org/drawingml/2006/main">
                        <a:graphicData uri="http://schemas.microsoft.com/office/word/2010/wordprocessingShape">
                          <wps:wsp>
                            <wps:cNvSpPr txBox="1"/>
                            <wps:spPr>
                              <a:xfrm>
                                <a:off x="1420495" y="1362075"/>
                                <a:ext cx="649605" cy="5702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楷体" w:hAnsi="楷体" w:eastAsia="楷体" w:cs="楷体"/>
                                      <w:b/>
                                      <w:bCs/>
                                      <w:color w:val="auto"/>
                                      <w:sz w:val="24"/>
                                      <w:szCs w:val="32"/>
                                      <w:lang w:val="en-US" w:eastAsia="zh-CN"/>
                                    </w:rPr>
                                  </w:pPr>
                                  <w:r>
                                    <w:rPr>
                                      <w:rFonts w:hint="eastAsia" w:ascii="楷体" w:hAnsi="楷体" w:eastAsia="楷体" w:cs="楷体"/>
                                      <w:b/>
                                      <w:bCs/>
                                      <w:color w:val="auto"/>
                                      <w:sz w:val="24"/>
                                      <w:szCs w:val="32"/>
                                      <w:lang w:val="en-US" w:eastAsia="zh-CN"/>
                                    </w:rPr>
                                    <w:t>结构</w:t>
                                  </w:r>
                                </w:p>
                                <w:p>
                                  <w:pPr>
                                    <w:jc w:val="left"/>
                                    <w:rPr>
                                      <w:rFonts w:hint="eastAsia" w:ascii="楷体" w:hAnsi="楷体" w:eastAsia="楷体" w:cs="楷体"/>
                                      <w:b/>
                                      <w:bCs/>
                                      <w:color w:val="auto"/>
                                      <w:sz w:val="24"/>
                                      <w:szCs w:val="32"/>
                                      <w:lang w:val="en-US" w:eastAsia="zh-CN"/>
                                    </w:rPr>
                                  </w:pPr>
                                  <w:r>
                                    <w:rPr>
                                      <w:rFonts w:hint="eastAsia" w:ascii="楷体" w:hAnsi="楷体" w:eastAsia="楷体" w:cs="楷体"/>
                                      <w:b/>
                                      <w:bCs/>
                                      <w:color w:val="auto"/>
                                      <w:sz w:val="24"/>
                                      <w:szCs w:val="32"/>
                                      <w:lang w:val="en-US" w:eastAsia="zh-CN"/>
                                    </w:rPr>
                                    <w:t>构件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75pt;margin-top:17pt;height:44.9pt;width:51.15pt;z-index:251666432;mso-width-relative:page;mso-height-relative:page;" fillcolor="#FFFFFF [3201]" filled="t" stroked="f" coordsize="21600,21600" o:gfxdata="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x6kIP1AAA&#10;AAoBAAAPAAAAAAAAAAEAIAAAACIAAABkcnMvZG93bnJldi54bWxQSwECFAAUAAAACACHTuJA2wg+&#10;f1sCAACcBAAADgAAAAAAAAABACAAAAAjAQAAZHJzL2Uyb0RvYy54bWxQSwUGAAAAAAYABgBZAQAA&#10;8AUAAAAA&#10;">
                      <v:fill on="t" focussize="0,0"/>
                      <v:stroke on="f" weight="0.5pt"/>
                      <v:imagedata o:title=""/>
                      <o:lock v:ext="edit" aspectratio="f"/>
                      <v:textbox>
                        <w:txbxContent>
                          <w:p>
                            <w:pPr>
                              <w:jc w:val="left"/>
                              <w:rPr>
                                <w:rFonts w:hint="eastAsia" w:ascii="楷体" w:hAnsi="楷体" w:eastAsia="楷体" w:cs="楷体"/>
                                <w:b/>
                                <w:bCs/>
                                <w:color w:val="auto"/>
                                <w:sz w:val="24"/>
                                <w:szCs w:val="32"/>
                                <w:lang w:val="en-US" w:eastAsia="zh-CN"/>
                              </w:rPr>
                            </w:pPr>
                            <w:r>
                              <w:rPr>
                                <w:rFonts w:hint="eastAsia" w:ascii="楷体" w:hAnsi="楷体" w:eastAsia="楷体" w:cs="楷体"/>
                                <w:b/>
                                <w:bCs/>
                                <w:color w:val="auto"/>
                                <w:sz w:val="24"/>
                                <w:szCs w:val="32"/>
                                <w:lang w:val="en-US" w:eastAsia="zh-CN"/>
                              </w:rPr>
                              <w:t>结构</w:t>
                            </w:r>
                          </w:p>
                          <w:p>
                            <w:pPr>
                              <w:jc w:val="left"/>
                              <w:rPr>
                                <w:rFonts w:hint="eastAsia" w:ascii="楷体" w:hAnsi="楷体" w:eastAsia="楷体" w:cs="楷体"/>
                                <w:b/>
                                <w:bCs/>
                                <w:color w:val="auto"/>
                                <w:sz w:val="24"/>
                                <w:szCs w:val="32"/>
                                <w:lang w:val="en-US" w:eastAsia="zh-CN"/>
                              </w:rPr>
                            </w:pPr>
                            <w:r>
                              <w:rPr>
                                <w:rFonts w:hint="eastAsia" w:ascii="楷体" w:hAnsi="楷体" w:eastAsia="楷体" w:cs="楷体"/>
                                <w:b/>
                                <w:bCs/>
                                <w:color w:val="auto"/>
                                <w:sz w:val="24"/>
                                <w:szCs w:val="32"/>
                                <w:lang w:val="en-US" w:eastAsia="zh-CN"/>
                              </w:rPr>
                              <w:t>构件</w:t>
                            </w:r>
                          </w:p>
                        </w:txbxContent>
                      </v:textbox>
                    </v:shape>
                  </w:pict>
                </mc:Fallback>
              </mc:AlternateContent>
            </w:r>
          </w:p>
        </w:tc>
        <w:tc>
          <w:tcPr>
            <w:tcW w:w="1335" w:type="dxa"/>
            <w:vMerge w:val="continue"/>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p>
        </w:tc>
        <w:tc>
          <w:tcPr>
            <w:tcW w:w="5132" w:type="dxa"/>
            <w:vAlign w:val="center"/>
          </w:tcPr>
          <w:p>
            <w:pPr>
              <w:spacing w:line="240" w:lineRule="auto"/>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悬挑钢雨棚宜采用主体结构预埋件连接，严禁采用膨胀螺栓，可选用化学锚栓，必须有相应的拉拔试验等相关证明文件；（有结构设计资质的设计院出具结构图纸、图审文件、专项施工方案）</w:t>
            </w:r>
          </w:p>
        </w:tc>
        <w:tc>
          <w:tcPr>
            <w:tcW w:w="1356" w:type="dxa"/>
            <w:vAlign w:val="center"/>
          </w:tcPr>
          <w:p>
            <w:pPr>
              <w:numPr>
                <w:ilvl w:val="0"/>
                <w:numId w:val="0"/>
              </w:numPr>
              <w:spacing w:line="240" w:lineRule="auto"/>
              <w:ind w:left="0" w:leftChars="0" w:firstLine="0" w:firstLineChars="0"/>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5000</w:t>
            </w:r>
          </w:p>
        </w:tc>
        <w:tc>
          <w:tcPr>
            <w:tcW w:w="754" w:type="dxa"/>
            <w:vAlign w:val="center"/>
          </w:tcPr>
          <w:p>
            <w:pPr>
              <w:numPr>
                <w:ilvl w:val="0"/>
                <w:numId w:val="0"/>
              </w:numPr>
              <w:spacing w:line="240" w:lineRule="auto"/>
              <w:ind w:left="0" w:leftChars="0" w:firstLine="0" w:firstLineChars="0"/>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vAlign w:val="center"/>
          </w:tcPr>
          <w:p>
            <w:pPr>
              <w:numPr>
                <w:ilvl w:val="0"/>
                <w:numId w:val="0"/>
              </w:numPr>
              <w:spacing w:line="24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13</w:t>
            </w:r>
          </w:p>
        </w:tc>
        <w:tc>
          <w:tcPr>
            <w:tcW w:w="1335" w:type="dxa"/>
            <w:vMerge w:val="restart"/>
            <w:vAlign w:val="center"/>
          </w:tcPr>
          <w:p>
            <w:pPr>
              <w:numPr>
                <w:ilvl w:val="0"/>
                <w:numId w:val="0"/>
              </w:numPr>
              <w:spacing w:line="24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p>
          <w:p>
            <w:pPr>
              <w:numPr>
                <w:ilvl w:val="0"/>
                <w:numId w:val="0"/>
              </w:numPr>
              <w:spacing w:line="24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p>
          <w:p>
            <w:pPr>
              <w:numPr>
                <w:ilvl w:val="0"/>
                <w:numId w:val="0"/>
              </w:numPr>
              <w:spacing w:line="24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t>渗漏</w:t>
            </w:r>
          </w:p>
        </w:tc>
        <w:tc>
          <w:tcPr>
            <w:tcW w:w="5132" w:type="dxa"/>
            <w:vAlign w:val="center"/>
          </w:tcPr>
          <w:p>
            <w:pPr>
              <w:keepNext w:val="0"/>
              <w:keepLines w:val="0"/>
              <w:widowControl/>
              <w:numPr>
                <w:ilvl w:val="0"/>
                <w:numId w:val="0"/>
              </w:numPr>
              <w:suppressLineNumbers w:val="0"/>
              <w:spacing w:line="240" w:lineRule="auto"/>
              <w:jc w:val="left"/>
              <w:textAlignment w:val="center"/>
              <w:rPr>
                <w:rFonts w:hint="eastAsia" w:ascii="楷体" w:hAnsi="楷体" w:eastAsia="楷体" w:cs="楷体"/>
                <w:color w:val="000000" w:themeColor="text1"/>
                <w:sz w:val="24"/>
                <w:szCs w:val="24"/>
                <w:lang w:eastAsia="zh-CN"/>
                <w14:textFill>
                  <w14:solidFill>
                    <w14:schemeClr w14:val="tx1"/>
                  </w14:solidFill>
                </w14:textFill>
              </w:rPr>
            </w:pPr>
            <w:r>
              <w:rPr>
                <w:rFonts w:hint="eastAsia" w:ascii="楷体" w:hAnsi="楷体" w:eastAsia="楷体" w:cs="楷体"/>
                <w:color w:val="000000" w:themeColor="text1"/>
                <w:sz w:val="24"/>
                <w:szCs w:val="24"/>
                <w:lang w:val="en-US" w:eastAsia="zh-CN"/>
                <w14:textFill>
                  <w14:solidFill>
                    <w14:schemeClr w14:val="tx1"/>
                  </w14:solidFill>
                </w14:textFill>
              </w:rPr>
              <w:t>1.</w:t>
            </w:r>
            <w:r>
              <w:rPr>
                <w:rFonts w:hint="eastAsia" w:ascii="楷体" w:hAnsi="楷体" w:eastAsia="楷体" w:cs="楷体"/>
                <w:color w:val="000000" w:themeColor="text1"/>
                <w:sz w:val="24"/>
                <w:szCs w:val="24"/>
                <w14:textFill>
                  <w14:solidFill>
                    <w14:schemeClr w14:val="tx1"/>
                  </w14:solidFill>
                </w14:textFill>
              </w:rPr>
              <w:t>卫生间及其它有防水房间防水施工完成后有渗水</w:t>
            </w:r>
            <w:r>
              <w:rPr>
                <w:rFonts w:hint="eastAsia" w:ascii="楷体" w:hAnsi="楷体" w:eastAsia="楷体" w:cs="楷体"/>
                <w:color w:val="000000" w:themeColor="text1"/>
                <w:sz w:val="24"/>
                <w:szCs w:val="24"/>
                <w:lang w:eastAsia="zh-CN"/>
                <w14:textFill>
                  <w14:solidFill>
                    <w14:schemeClr w14:val="tx1"/>
                  </w14:solidFill>
                </w14:textFill>
              </w:rPr>
              <w:t>；</w:t>
            </w:r>
          </w:p>
          <w:p>
            <w:pPr>
              <w:keepNext w:val="0"/>
              <w:keepLines w:val="0"/>
              <w:widowControl/>
              <w:numPr>
                <w:ilvl w:val="0"/>
                <w:numId w:val="0"/>
              </w:numPr>
              <w:suppressLineNumbers w:val="0"/>
              <w:spacing w:line="240" w:lineRule="auto"/>
              <w:jc w:val="left"/>
              <w:textAlignment w:val="center"/>
              <w:rPr>
                <w:rFonts w:hint="eastAsia"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lang w:val="en-US" w:eastAsia="zh-CN"/>
                <w14:textFill>
                  <w14:solidFill>
                    <w14:schemeClr w14:val="tx1"/>
                  </w14:solidFill>
                </w14:textFill>
              </w:rPr>
              <w:t>2.</w:t>
            </w:r>
            <w:r>
              <w:rPr>
                <w:rFonts w:hint="eastAsia" w:ascii="楷体" w:hAnsi="楷体" w:eastAsia="楷体" w:cs="楷体"/>
                <w:color w:val="000000" w:themeColor="text1"/>
                <w:sz w:val="24"/>
                <w:szCs w:val="24"/>
                <w14:textFill>
                  <w14:solidFill>
                    <w14:schemeClr w14:val="tx1"/>
                  </w14:solidFill>
                </w14:textFill>
              </w:rPr>
              <w:t>外墙</w:t>
            </w:r>
            <w:r>
              <w:rPr>
                <w:rFonts w:hint="eastAsia" w:ascii="楷体" w:hAnsi="楷体" w:eastAsia="楷体" w:cs="楷体"/>
                <w:color w:val="000000" w:themeColor="text1"/>
                <w:sz w:val="24"/>
                <w:szCs w:val="24"/>
                <w:lang w:val="en-US" w:eastAsia="zh-CN"/>
                <w14:textFill>
                  <w14:solidFill>
                    <w14:schemeClr w14:val="tx1"/>
                  </w14:solidFill>
                </w14:textFill>
              </w:rPr>
              <w:t>及外</w:t>
            </w:r>
            <w:r>
              <w:rPr>
                <w:rFonts w:hint="eastAsia" w:ascii="楷体" w:hAnsi="楷体" w:eastAsia="楷体" w:cs="楷体"/>
                <w:color w:val="000000" w:themeColor="text1"/>
                <w:sz w:val="24"/>
                <w:szCs w:val="24"/>
                <w14:textFill>
                  <w14:solidFill>
                    <w14:schemeClr w14:val="tx1"/>
                  </w14:solidFill>
                </w14:textFill>
              </w:rPr>
              <w:t>窗</w:t>
            </w:r>
            <w:r>
              <w:rPr>
                <w:rFonts w:hint="eastAsia" w:ascii="楷体" w:hAnsi="楷体" w:eastAsia="楷体" w:cs="楷体"/>
                <w:color w:val="000000" w:themeColor="text1"/>
                <w:sz w:val="24"/>
                <w:szCs w:val="24"/>
                <w:lang w:val="en-US" w:eastAsia="zh-CN"/>
                <w14:textFill>
                  <w14:solidFill>
                    <w14:schemeClr w14:val="tx1"/>
                  </w14:solidFill>
                </w14:textFill>
              </w:rPr>
              <w:t>防水施工后</w:t>
            </w:r>
            <w:r>
              <w:rPr>
                <w:rFonts w:hint="eastAsia" w:ascii="楷体" w:hAnsi="楷体" w:eastAsia="楷体" w:cs="楷体"/>
                <w:color w:val="000000" w:themeColor="text1"/>
                <w:sz w:val="24"/>
                <w:szCs w:val="24"/>
                <w14:textFill>
                  <w14:solidFill>
                    <w14:schemeClr w14:val="tx1"/>
                  </w14:solidFill>
                </w14:textFill>
              </w:rPr>
              <w:t>四周有渗水。</w:t>
            </w:r>
          </w:p>
          <w:p>
            <w:pPr>
              <w:keepNext w:val="0"/>
              <w:keepLines w:val="0"/>
              <w:widowControl/>
              <w:numPr>
                <w:ilvl w:val="0"/>
                <w:numId w:val="0"/>
              </w:numPr>
              <w:suppressLineNumbers w:val="0"/>
              <w:spacing w:line="240" w:lineRule="auto"/>
              <w:ind w:leftChars="0"/>
              <w:jc w:val="left"/>
              <w:textAlignment w:val="center"/>
              <w:rPr>
                <w:rFonts w:hint="eastAsia" w:ascii="楷体" w:hAnsi="楷体" w:eastAsia="楷体" w:cs="楷体"/>
                <w:i w:val="0"/>
                <w:color w:val="000000" w:themeColor="text1"/>
                <w:kern w:val="0"/>
                <w:sz w:val="24"/>
                <w:szCs w:val="24"/>
                <w:u w:val="none"/>
                <w:lang w:val="en-US" w:eastAsia="zh-CN" w:bidi="ar"/>
                <w14:textFill>
                  <w14:solidFill>
                    <w14:schemeClr w14:val="tx1"/>
                  </w14:solidFill>
                </w14:textFill>
              </w:rPr>
            </w:pPr>
            <w:r>
              <w:rPr>
                <w:rFonts w:hint="eastAsia" w:ascii="楷体" w:hAnsi="楷体" w:eastAsia="楷体" w:cs="楷体"/>
                <w:i w:val="0"/>
                <w:color w:val="000000" w:themeColor="text1"/>
                <w:kern w:val="0"/>
                <w:sz w:val="24"/>
                <w:szCs w:val="24"/>
                <w:u w:val="none"/>
                <w:lang w:val="en-US" w:eastAsia="zh-CN" w:bidi="ar"/>
                <w14:textFill>
                  <w14:solidFill>
                    <w14:schemeClr w14:val="tx1"/>
                  </w14:solidFill>
                </w14:textFill>
              </w:rPr>
              <w:t>3.地下室顶板、地下室外墙防水完成后渗漏。</w:t>
            </w:r>
          </w:p>
          <w:p>
            <w:pPr>
              <w:keepNext w:val="0"/>
              <w:keepLines w:val="0"/>
              <w:widowControl/>
              <w:numPr>
                <w:ilvl w:val="0"/>
                <w:numId w:val="0"/>
              </w:numPr>
              <w:suppressLineNumbers w:val="0"/>
              <w:spacing w:line="240" w:lineRule="auto"/>
              <w:ind w:leftChars="0"/>
              <w:jc w:val="left"/>
              <w:textAlignment w:val="center"/>
              <w:rPr>
                <w:rFonts w:hint="eastAsia" w:ascii="楷体" w:hAnsi="楷体" w:eastAsia="楷体" w:cs="楷体"/>
                <w:i w:val="0"/>
                <w:color w:val="000000" w:themeColor="text1"/>
                <w:kern w:val="0"/>
                <w:sz w:val="24"/>
                <w:szCs w:val="24"/>
                <w:u w:val="none"/>
                <w:lang w:val="en-US" w:eastAsia="zh-CN" w:bidi="ar"/>
                <w14:textFill>
                  <w14:solidFill>
                    <w14:schemeClr w14:val="tx1"/>
                  </w14:solidFill>
                </w14:textFill>
              </w:rPr>
            </w:pPr>
            <w:r>
              <w:rPr>
                <w:rFonts w:hint="eastAsia" w:ascii="楷体" w:hAnsi="楷体" w:eastAsia="楷体" w:cs="楷体"/>
                <w:i w:val="0"/>
                <w:color w:val="000000" w:themeColor="text1"/>
                <w:kern w:val="0"/>
                <w:sz w:val="24"/>
                <w:szCs w:val="24"/>
                <w:u w:val="none"/>
                <w:lang w:val="en-US" w:eastAsia="zh-CN" w:bidi="ar"/>
                <w14:textFill>
                  <w14:solidFill>
                    <w14:schemeClr w14:val="tx1"/>
                  </w14:solidFill>
                </w14:textFill>
              </w:rPr>
              <w:t>4.沉箱式卫生间，箱底未设侧排地漏；</w:t>
            </w:r>
          </w:p>
          <w:p>
            <w:pPr>
              <w:keepNext w:val="0"/>
              <w:keepLines w:val="0"/>
              <w:widowControl/>
              <w:numPr>
                <w:ilvl w:val="0"/>
                <w:numId w:val="0"/>
              </w:numPr>
              <w:suppressLineNumbers w:val="0"/>
              <w:spacing w:line="240" w:lineRule="auto"/>
              <w:ind w:leftChars="0"/>
              <w:jc w:val="left"/>
              <w:textAlignment w:val="center"/>
              <w:rPr>
                <w:rFonts w:hint="eastAsia" w:ascii="楷体" w:hAnsi="楷体" w:eastAsia="楷体" w:cs="楷体"/>
                <w:i w:val="0"/>
                <w:color w:val="000000" w:themeColor="text1"/>
                <w:kern w:val="0"/>
                <w:sz w:val="24"/>
                <w:szCs w:val="24"/>
                <w:u w:val="none"/>
                <w:lang w:val="en-US" w:eastAsia="zh-CN" w:bidi="ar"/>
                <w14:textFill>
                  <w14:solidFill>
                    <w14:schemeClr w14:val="tx1"/>
                  </w14:solidFill>
                </w14:textFill>
              </w:rPr>
            </w:pPr>
            <w:r>
              <w:rPr>
                <w:rFonts w:hint="eastAsia" w:ascii="楷体" w:hAnsi="楷体" w:eastAsia="楷体" w:cs="楷体"/>
                <w:i w:val="0"/>
                <w:color w:val="000000" w:themeColor="text1"/>
                <w:kern w:val="0"/>
                <w:sz w:val="24"/>
                <w:szCs w:val="24"/>
                <w:u w:val="none"/>
                <w:lang w:val="en-US" w:eastAsia="zh-CN" w:bidi="ar"/>
                <w14:textFill>
                  <w14:solidFill>
                    <w14:schemeClr w14:val="tx1"/>
                  </w14:solidFill>
                </w14:textFill>
              </w:rPr>
              <w:t>5.厨卫间防水施工节点做法不符；</w:t>
            </w:r>
          </w:p>
          <w:p>
            <w:pPr>
              <w:keepNext w:val="0"/>
              <w:keepLines w:val="0"/>
              <w:widowControl/>
              <w:numPr>
                <w:ilvl w:val="0"/>
                <w:numId w:val="0"/>
              </w:numPr>
              <w:suppressLineNumbers w:val="0"/>
              <w:spacing w:line="240" w:lineRule="auto"/>
              <w:ind w:leftChars="0"/>
              <w:jc w:val="left"/>
              <w:textAlignment w:val="center"/>
              <w:rPr>
                <w:rFonts w:hint="eastAsia" w:ascii="楷体" w:hAnsi="楷体" w:eastAsia="楷体" w:cs="楷体"/>
                <w:i w:val="0"/>
                <w:color w:val="000000" w:themeColor="text1"/>
                <w:kern w:val="0"/>
                <w:sz w:val="24"/>
                <w:szCs w:val="24"/>
                <w:u w:val="none"/>
                <w:lang w:val="en-US" w:eastAsia="zh-CN" w:bidi="ar"/>
                <w14:textFill>
                  <w14:solidFill>
                    <w14:schemeClr w14:val="tx1"/>
                  </w14:solidFill>
                </w14:textFill>
              </w:rPr>
            </w:pPr>
            <w:r>
              <w:rPr>
                <w:rFonts w:hint="eastAsia" w:ascii="楷体" w:hAnsi="楷体" w:eastAsia="楷体" w:cs="楷体"/>
                <w:i w:val="0"/>
                <w:color w:val="000000" w:themeColor="text1"/>
                <w:kern w:val="0"/>
                <w:sz w:val="24"/>
                <w:szCs w:val="24"/>
                <w:u w:val="none"/>
                <w:lang w:val="en-US" w:eastAsia="zh-CN" w:bidi="ar"/>
                <w14:textFill>
                  <w14:solidFill>
                    <w14:schemeClr w14:val="tx1"/>
                  </w14:solidFill>
                </w14:textFill>
              </w:rPr>
              <w:t>6.严禁沉箱范围内穿设管道；</w:t>
            </w:r>
          </w:p>
          <w:p>
            <w:pPr>
              <w:keepNext w:val="0"/>
              <w:keepLines w:val="0"/>
              <w:widowControl/>
              <w:numPr>
                <w:ilvl w:val="0"/>
                <w:numId w:val="0"/>
              </w:numPr>
              <w:suppressLineNumbers w:val="0"/>
              <w:spacing w:line="240" w:lineRule="auto"/>
              <w:ind w:leftChars="0"/>
              <w:jc w:val="left"/>
              <w:textAlignment w:val="center"/>
              <w:rPr>
                <w:rFonts w:hint="eastAsia" w:ascii="楷体" w:hAnsi="楷体" w:eastAsia="楷体" w:cs="楷体"/>
                <w:i w:val="0"/>
                <w:color w:val="000000" w:themeColor="text1"/>
                <w:kern w:val="0"/>
                <w:sz w:val="24"/>
                <w:szCs w:val="24"/>
                <w:u w:val="none"/>
                <w:lang w:val="en-US" w:eastAsia="zh-CN" w:bidi="ar"/>
                <w14:textFill>
                  <w14:solidFill>
                    <w14:schemeClr w14:val="tx1"/>
                  </w14:solidFill>
                </w14:textFill>
              </w:rPr>
            </w:pPr>
            <w:r>
              <w:rPr>
                <w:rFonts w:hint="eastAsia" w:ascii="楷体" w:hAnsi="楷体" w:eastAsia="楷体" w:cs="楷体"/>
                <w:i w:val="0"/>
                <w:color w:val="000000" w:themeColor="text1"/>
                <w:kern w:val="0"/>
                <w:sz w:val="24"/>
                <w:szCs w:val="24"/>
                <w:u w:val="none"/>
                <w:lang w:val="en-US" w:eastAsia="zh-CN" w:bidi="ar"/>
                <w14:textFill>
                  <w14:solidFill>
                    <w14:schemeClr w14:val="tx1"/>
                  </w14:solidFill>
                </w14:textFill>
              </w:rPr>
              <w:t>7.厨卫间门槛石后贴；</w:t>
            </w:r>
          </w:p>
          <w:p>
            <w:pPr>
              <w:keepNext w:val="0"/>
              <w:keepLines w:val="0"/>
              <w:widowControl/>
              <w:numPr>
                <w:ilvl w:val="0"/>
                <w:numId w:val="0"/>
              </w:numPr>
              <w:suppressLineNumbers w:val="0"/>
              <w:spacing w:line="240" w:lineRule="auto"/>
              <w:ind w:leftChars="0"/>
              <w:jc w:val="left"/>
              <w:textAlignment w:val="center"/>
              <w:rPr>
                <w:rFonts w:hint="eastAsia" w:ascii="楷体" w:hAnsi="楷体" w:eastAsia="楷体" w:cs="楷体"/>
                <w:i w:val="0"/>
                <w:color w:val="000000" w:themeColor="text1"/>
                <w:kern w:val="0"/>
                <w:sz w:val="24"/>
                <w:szCs w:val="24"/>
                <w:u w:val="none"/>
                <w:lang w:val="en-US" w:eastAsia="zh-CN" w:bidi="ar"/>
                <w14:textFill>
                  <w14:solidFill>
                    <w14:schemeClr w14:val="tx1"/>
                  </w14:solidFill>
                </w14:textFill>
              </w:rPr>
            </w:pPr>
            <w:r>
              <w:rPr>
                <w:rFonts w:hint="eastAsia" w:ascii="楷体" w:hAnsi="楷体" w:eastAsia="楷体" w:cs="楷体"/>
                <w:i w:val="0"/>
                <w:color w:val="000000" w:themeColor="text1"/>
                <w:kern w:val="0"/>
                <w:sz w:val="24"/>
                <w:szCs w:val="24"/>
                <w:u w:val="none"/>
                <w:lang w:val="en-US" w:eastAsia="zh-CN" w:bidi="ar"/>
                <w14:textFill>
                  <w14:solidFill>
                    <w14:schemeClr w14:val="tx1"/>
                  </w14:solidFill>
                </w14:textFill>
              </w:rPr>
              <w:t>8.卫生间导墙未设置；</w:t>
            </w:r>
          </w:p>
          <w:p>
            <w:pPr>
              <w:keepNext w:val="0"/>
              <w:keepLines w:val="0"/>
              <w:widowControl/>
              <w:suppressLineNumbers w:val="0"/>
              <w:spacing w:line="240" w:lineRule="auto"/>
              <w:jc w:val="left"/>
              <w:textAlignment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t>合10处以上</w:t>
            </w:r>
          </w:p>
        </w:tc>
        <w:tc>
          <w:tcPr>
            <w:tcW w:w="1356"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5000（每处500）</w:t>
            </w:r>
          </w:p>
        </w:tc>
        <w:tc>
          <w:tcPr>
            <w:tcW w:w="754"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vAlign w:val="center"/>
          </w:tcPr>
          <w:p>
            <w:pPr>
              <w:numPr>
                <w:ilvl w:val="0"/>
                <w:numId w:val="0"/>
              </w:numPr>
              <w:spacing w:line="24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14</w:t>
            </w:r>
          </w:p>
        </w:tc>
        <w:tc>
          <w:tcPr>
            <w:tcW w:w="1335" w:type="dxa"/>
            <w:vMerge w:val="continue"/>
            <w:vAlign w:val="center"/>
          </w:tcPr>
          <w:p>
            <w:pPr>
              <w:numPr>
                <w:ilvl w:val="0"/>
                <w:numId w:val="0"/>
              </w:numPr>
              <w:spacing w:line="24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p>
        </w:tc>
        <w:tc>
          <w:tcPr>
            <w:tcW w:w="5132" w:type="dxa"/>
            <w:vAlign w:val="center"/>
          </w:tcPr>
          <w:p>
            <w:pPr>
              <w:keepNext w:val="0"/>
              <w:keepLines w:val="0"/>
              <w:widowControl/>
              <w:suppressLineNumbers w:val="0"/>
              <w:spacing w:line="240" w:lineRule="auto"/>
              <w:jc w:val="left"/>
              <w:textAlignment w:val="cente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pPr>
            <w:r>
              <w:rPr>
                <w:rFonts w:hint="eastAsia" w:ascii="楷体" w:hAnsi="楷体" w:eastAsia="楷体" w:cs="楷体"/>
                <w:i w:val="0"/>
                <w:color w:val="000000" w:themeColor="text1"/>
                <w:kern w:val="0"/>
                <w:sz w:val="24"/>
                <w:szCs w:val="24"/>
                <w:u w:val="none"/>
                <w:lang w:val="en-US" w:eastAsia="zh-CN" w:bidi="ar"/>
                <w14:textFill>
                  <w14:solidFill>
                    <w14:schemeClr w14:val="tx1"/>
                  </w14:solidFill>
                </w14:textFill>
              </w:rPr>
              <w:t>外窗塞缝密实度防水施工前存在渗漏现象且合格率低于50%；铝合金框下防水施工前存在渗漏现象且合格率低于50%；</w:t>
            </w:r>
          </w:p>
        </w:tc>
        <w:tc>
          <w:tcPr>
            <w:tcW w:w="1356" w:type="dxa"/>
            <w:vAlign w:val="center"/>
          </w:tcPr>
          <w:p>
            <w:pPr>
              <w:numPr>
                <w:ilvl w:val="0"/>
                <w:numId w:val="0"/>
              </w:numPr>
              <w:spacing w:line="240" w:lineRule="auto"/>
              <w:ind w:left="0" w:leftChars="0" w:firstLine="0" w:firstLineChars="0"/>
              <w:jc w:val="center"/>
              <w:rPr>
                <w:rFonts w:hint="eastAsia" w:ascii="楷体" w:hAnsi="楷体" w:eastAsia="楷体" w:cs="楷体"/>
                <w:b w:val="0"/>
                <w:bCs w:val="0"/>
                <w:color w:val="000000" w:themeColor="text1"/>
                <w:kern w:val="2"/>
                <w:sz w:val="24"/>
                <w:szCs w:val="24"/>
                <w:vertAlign w:val="baseline"/>
                <w:lang w:val="en-US" w:eastAsia="zh-CN" w:bidi="ar-SA"/>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5000</w:t>
            </w:r>
          </w:p>
        </w:tc>
        <w:tc>
          <w:tcPr>
            <w:tcW w:w="754" w:type="dxa"/>
            <w:vAlign w:val="center"/>
          </w:tcPr>
          <w:p>
            <w:pPr>
              <w:numPr>
                <w:ilvl w:val="0"/>
                <w:numId w:val="0"/>
              </w:numPr>
              <w:spacing w:line="240" w:lineRule="auto"/>
              <w:ind w:left="0" w:leftChars="0" w:firstLine="0" w:firstLineChars="0"/>
              <w:jc w:val="center"/>
              <w:rPr>
                <w:rFonts w:hint="eastAsia" w:ascii="楷体" w:hAnsi="楷体" w:eastAsia="楷体" w:cs="楷体"/>
                <w:b w:val="0"/>
                <w:bCs w:val="0"/>
                <w:color w:val="000000" w:themeColor="text1"/>
                <w:kern w:val="2"/>
                <w:sz w:val="24"/>
                <w:szCs w:val="24"/>
                <w:vertAlign w:val="baseline"/>
                <w:lang w:val="en-US" w:eastAsia="zh-CN" w:bidi="ar-SA"/>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vAlign w:val="center"/>
          </w:tcPr>
          <w:p>
            <w:pPr>
              <w:numPr>
                <w:ilvl w:val="0"/>
                <w:numId w:val="0"/>
              </w:numPr>
              <w:spacing w:line="24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15</w:t>
            </w:r>
          </w:p>
        </w:tc>
        <w:tc>
          <w:tcPr>
            <w:tcW w:w="1335" w:type="dxa"/>
            <w:vMerge w:val="continue"/>
            <w:vAlign w:val="center"/>
          </w:tcPr>
          <w:p>
            <w:pPr>
              <w:numPr>
                <w:ilvl w:val="0"/>
                <w:numId w:val="0"/>
              </w:numPr>
              <w:spacing w:line="24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p>
        </w:tc>
        <w:tc>
          <w:tcPr>
            <w:tcW w:w="5132" w:type="dxa"/>
            <w:vAlign w:val="center"/>
          </w:tcPr>
          <w:p>
            <w:pPr>
              <w:keepNext w:val="0"/>
              <w:keepLines w:val="0"/>
              <w:widowControl/>
              <w:suppressLineNumbers w:val="0"/>
              <w:spacing w:line="240" w:lineRule="auto"/>
              <w:jc w:val="left"/>
              <w:textAlignment w:val="cente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pPr>
            <w: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t>单幢楼屋面完成后渗漏达2处及以上；或多幢楼屋面渗漏达5处以上；</w:t>
            </w:r>
          </w:p>
        </w:tc>
        <w:tc>
          <w:tcPr>
            <w:tcW w:w="1356" w:type="dxa"/>
            <w:vAlign w:val="center"/>
          </w:tcPr>
          <w:p>
            <w:pPr>
              <w:numPr>
                <w:ilvl w:val="0"/>
                <w:numId w:val="0"/>
              </w:numPr>
              <w:spacing w:line="240" w:lineRule="auto"/>
              <w:ind w:left="0" w:leftChars="0" w:firstLine="0" w:firstLineChars="0"/>
              <w:jc w:val="center"/>
              <w:rPr>
                <w:rFonts w:hint="eastAsia" w:ascii="楷体" w:hAnsi="楷体" w:eastAsia="楷体" w:cs="楷体"/>
                <w:b w:val="0"/>
                <w:bCs w:val="0"/>
                <w:color w:val="000000" w:themeColor="text1"/>
                <w:kern w:val="2"/>
                <w:sz w:val="24"/>
                <w:szCs w:val="24"/>
                <w:vertAlign w:val="baseline"/>
                <w:lang w:val="en-US" w:eastAsia="zh-CN" w:bidi="ar-SA"/>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5000（每处1000）</w:t>
            </w:r>
          </w:p>
        </w:tc>
        <w:tc>
          <w:tcPr>
            <w:tcW w:w="754" w:type="dxa"/>
            <w:vAlign w:val="center"/>
          </w:tcPr>
          <w:p>
            <w:pPr>
              <w:numPr>
                <w:ilvl w:val="0"/>
                <w:numId w:val="0"/>
              </w:numPr>
              <w:spacing w:line="240" w:lineRule="auto"/>
              <w:ind w:left="0" w:leftChars="0" w:firstLine="0" w:firstLineChars="0"/>
              <w:jc w:val="center"/>
              <w:rPr>
                <w:rFonts w:hint="eastAsia" w:ascii="楷体" w:hAnsi="楷体" w:eastAsia="楷体" w:cs="楷体"/>
                <w:b w:val="0"/>
                <w:bCs w:val="0"/>
                <w:color w:val="000000" w:themeColor="text1"/>
                <w:kern w:val="2"/>
                <w:sz w:val="24"/>
                <w:szCs w:val="24"/>
                <w:vertAlign w:val="baseline"/>
                <w:lang w:val="en-US" w:eastAsia="zh-CN" w:bidi="ar-SA"/>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vAlign w:val="center"/>
          </w:tcPr>
          <w:p>
            <w:pPr>
              <w:numPr>
                <w:ilvl w:val="0"/>
                <w:numId w:val="0"/>
              </w:numPr>
              <w:spacing w:line="24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16</w:t>
            </w:r>
          </w:p>
        </w:tc>
        <w:tc>
          <w:tcPr>
            <w:tcW w:w="1335" w:type="dxa"/>
            <w:vMerge w:val="continue"/>
            <w:vAlign w:val="center"/>
          </w:tcPr>
          <w:p>
            <w:pPr>
              <w:numPr>
                <w:ilvl w:val="0"/>
                <w:numId w:val="0"/>
              </w:numPr>
              <w:spacing w:line="24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p>
        </w:tc>
        <w:tc>
          <w:tcPr>
            <w:tcW w:w="5132" w:type="dxa"/>
            <w:vAlign w:val="center"/>
          </w:tcPr>
          <w:p>
            <w:pPr>
              <w:keepNext w:val="0"/>
              <w:keepLines w:val="0"/>
              <w:widowControl/>
              <w:suppressLineNumbers w:val="0"/>
              <w:spacing w:line="240" w:lineRule="auto"/>
              <w:jc w:val="left"/>
              <w:textAlignment w:val="cente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pPr>
            <w: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t>地下室建筑面积每千平方米渗漏点达到2处以上；</w:t>
            </w:r>
          </w:p>
        </w:tc>
        <w:tc>
          <w:tcPr>
            <w:tcW w:w="1356"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5000</w:t>
            </w:r>
          </w:p>
        </w:tc>
        <w:tc>
          <w:tcPr>
            <w:tcW w:w="754"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vAlign w:val="center"/>
          </w:tcPr>
          <w:p>
            <w:pPr>
              <w:numPr>
                <w:ilvl w:val="0"/>
                <w:numId w:val="0"/>
              </w:numPr>
              <w:spacing w:line="24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17</w:t>
            </w:r>
          </w:p>
        </w:tc>
        <w:tc>
          <w:tcPr>
            <w:tcW w:w="1335" w:type="dxa"/>
            <w:vMerge w:val="restart"/>
            <w:vAlign w:val="center"/>
          </w:tcPr>
          <w:p>
            <w:pPr>
              <w:numPr>
                <w:ilvl w:val="0"/>
                <w:numId w:val="0"/>
              </w:numPr>
              <w:spacing w:line="24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t>脱落</w:t>
            </w:r>
          </w:p>
        </w:tc>
        <w:tc>
          <w:tcPr>
            <w:tcW w:w="5132" w:type="dxa"/>
            <w:vAlign w:val="center"/>
          </w:tcPr>
          <w:p>
            <w:pPr>
              <w:numPr>
                <w:ilvl w:val="0"/>
                <w:numId w:val="9"/>
              </w:numPr>
              <w:spacing w:line="240" w:lineRule="auto"/>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顶棚粉刷使用普通水泥砂浆；</w:t>
            </w:r>
          </w:p>
          <w:p>
            <w:pPr>
              <w:numPr>
                <w:ilvl w:val="0"/>
                <w:numId w:val="0"/>
              </w:numPr>
              <w:spacing w:line="240" w:lineRule="auto"/>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合5跨板及以上</w:t>
            </w:r>
          </w:p>
        </w:tc>
        <w:tc>
          <w:tcPr>
            <w:tcW w:w="1356" w:type="dxa"/>
            <w:vAlign w:val="center"/>
          </w:tcPr>
          <w:p>
            <w:pPr>
              <w:numPr>
                <w:ilvl w:val="0"/>
                <w:numId w:val="0"/>
              </w:numPr>
              <w:spacing w:line="24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5000</w:t>
            </w:r>
          </w:p>
        </w:tc>
        <w:tc>
          <w:tcPr>
            <w:tcW w:w="754" w:type="dxa"/>
            <w:vAlign w:val="center"/>
          </w:tcPr>
          <w:p>
            <w:pPr>
              <w:numPr>
                <w:ilvl w:val="0"/>
                <w:numId w:val="0"/>
              </w:numPr>
              <w:spacing w:line="24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66" w:type="dxa"/>
            <w:vAlign w:val="center"/>
          </w:tcPr>
          <w:p>
            <w:pPr>
              <w:numPr>
                <w:ilvl w:val="0"/>
                <w:numId w:val="0"/>
              </w:numPr>
              <w:spacing w:line="24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18</w:t>
            </w:r>
          </w:p>
        </w:tc>
        <w:tc>
          <w:tcPr>
            <w:tcW w:w="1335" w:type="dxa"/>
            <w:vMerge w:val="continue"/>
            <w:vAlign w:val="center"/>
          </w:tcPr>
          <w:p>
            <w:pPr>
              <w:numPr>
                <w:ilvl w:val="0"/>
                <w:numId w:val="0"/>
              </w:numPr>
              <w:spacing w:line="24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p>
        </w:tc>
        <w:tc>
          <w:tcPr>
            <w:tcW w:w="5132" w:type="dxa"/>
            <w:vAlign w:val="center"/>
          </w:tcPr>
          <w:p>
            <w:pPr>
              <w:numPr>
                <w:ilvl w:val="0"/>
                <w:numId w:val="0"/>
              </w:numPr>
              <w:spacing w:line="240" w:lineRule="auto"/>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2.干挂石材龙骨未按照设计和图纸要求施工；</w:t>
            </w:r>
          </w:p>
        </w:tc>
        <w:tc>
          <w:tcPr>
            <w:tcW w:w="1356" w:type="dxa"/>
            <w:vAlign w:val="center"/>
          </w:tcPr>
          <w:p>
            <w:pPr>
              <w:numPr>
                <w:ilvl w:val="0"/>
                <w:numId w:val="0"/>
              </w:numPr>
              <w:spacing w:line="24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5000</w:t>
            </w:r>
          </w:p>
        </w:tc>
        <w:tc>
          <w:tcPr>
            <w:tcW w:w="754" w:type="dxa"/>
            <w:vAlign w:val="center"/>
          </w:tcPr>
          <w:p>
            <w:pPr>
              <w:numPr>
                <w:ilvl w:val="0"/>
                <w:numId w:val="0"/>
              </w:numPr>
              <w:spacing w:line="24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红</w:t>
            </w:r>
          </w:p>
        </w:tc>
      </w:tr>
    </w:tbl>
    <w:p>
      <w:pPr>
        <w:numPr>
          <w:ilvl w:val="0"/>
          <w:numId w:val="0"/>
        </w:numPr>
        <w:spacing w:line="360" w:lineRule="auto"/>
        <w:rPr>
          <w:rFonts w:hint="eastAsia" w:ascii="华文中宋" w:hAnsi="华文中宋" w:eastAsia="华文中宋" w:cs="华文细黑"/>
          <w:b/>
          <w:bCs/>
          <w:sz w:val="24"/>
          <w:lang w:val="en-US" w:eastAsia="zh-CN"/>
        </w:rPr>
      </w:pPr>
    </w:p>
    <w:p>
      <w:pPr>
        <w:numPr>
          <w:ilvl w:val="0"/>
          <w:numId w:val="0"/>
        </w:numPr>
        <w:spacing w:line="360" w:lineRule="auto"/>
        <w:rPr>
          <w:rFonts w:hint="eastAsia" w:ascii="华文中宋" w:hAnsi="华文中宋" w:eastAsia="华文中宋" w:cs="华文细黑"/>
          <w:b/>
          <w:bCs/>
          <w:sz w:val="24"/>
          <w:lang w:val="en-US" w:eastAsia="zh-CN"/>
        </w:rPr>
      </w:pPr>
    </w:p>
    <w:p>
      <w:pPr>
        <w:numPr>
          <w:ilvl w:val="0"/>
          <w:numId w:val="0"/>
        </w:numPr>
        <w:spacing w:line="360" w:lineRule="auto"/>
        <w:rPr>
          <w:rFonts w:hint="eastAsia" w:ascii="华文中宋" w:hAnsi="华文中宋" w:eastAsia="华文中宋" w:cs="华文细黑"/>
          <w:b/>
          <w:bCs/>
          <w:sz w:val="24"/>
          <w:lang w:val="en-US" w:eastAsia="zh-CN"/>
        </w:rPr>
      </w:pPr>
    </w:p>
    <w:p>
      <w:pPr>
        <w:numPr>
          <w:ilvl w:val="0"/>
          <w:numId w:val="0"/>
        </w:numPr>
        <w:spacing w:line="360" w:lineRule="auto"/>
        <w:rPr>
          <w:rFonts w:hint="eastAsia" w:ascii="华文中宋" w:hAnsi="华文中宋" w:eastAsia="华文中宋" w:cs="华文细黑"/>
          <w:b/>
          <w:bCs/>
          <w:sz w:val="24"/>
          <w:lang w:val="en-US" w:eastAsia="zh-CN"/>
        </w:rPr>
      </w:pPr>
    </w:p>
    <w:p>
      <w:pPr>
        <w:numPr>
          <w:ilvl w:val="0"/>
          <w:numId w:val="0"/>
        </w:numPr>
        <w:spacing w:line="360" w:lineRule="auto"/>
        <w:rPr>
          <w:rFonts w:hint="eastAsia" w:ascii="华文中宋" w:hAnsi="华文中宋" w:eastAsia="华文中宋" w:cs="华文细黑"/>
          <w:b/>
          <w:bCs/>
          <w:sz w:val="24"/>
          <w:lang w:val="en-US" w:eastAsia="zh-CN"/>
        </w:rPr>
      </w:pPr>
    </w:p>
    <w:p>
      <w:pPr>
        <w:numPr>
          <w:ilvl w:val="0"/>
          <w:numId w:val="0"/>
        </w:numPr>
        <w:spacing w:line="360" w:lineRule="auto"/>
        <w:rPr>
          <w:rFonts w:hint="eastAsia" w:ascii="华文中宋" w:hAnsi="华文中宋" w:eastAsia="华文中宋" w:cs="华文细黑"/>
          <w:b/>
          <w:bCs/>
          <w:sz w:val="24"/>
          <w:lang w:val="en-US" w:eastAsia="zh-CN"/>
        </w:rPr>
      </w:pPr>
    </w:p>
    <w:p>
      <w:pPr>
        <w:numPr>
          <w:ilvl w:val="0"/>
          <w:numId w:val="0"/>
        </w:numPr>
        <w:spacing w:line="360" w:lineRule="auto"/>
        <w:rPr>
          <w:rFonts w:hint="eastAsia" w:ascii="华文中宋" w:hAnsi="华文中宋" w:eastAsia="华文中宋" w:cs="华文细黑"/>
          <w:b/>
          <w:bCs/>
          <w:sz w:val="24"/>
          <w:lang w:val="en-US" w:eastAsia="zh-CN"/>
        </w:rPr>
      </w:pPr>
    </w:p>
    <w:p>
      <w:pPr>
        <w:numPr>
          <w:ilvl w:val="0"/>
          <w:numId w:val="0"/>
        </w:numPr>
        <w:spacing w:line="360" w:lineRule="auto"/>
        <w:rPr>
          <w:rFonts w:hint="eastAsia" w:ascii="华文中宋" w:hAnsi="华文中宋" w:eastAsia="华文中宋" w:cs="华文细黑"/>
          <w:b/>
          <w:bCs/>
          <w:sz w:val="24"/>
          <w:lang w:val="en-US" w:eastAsia="zh-CN"/>
        </w:rPr>
      </w:pPr>
    </w:p>
    <w:p>
      <w:pPr>
        <w:numPr>
          <w:ilvl w:val="0"/>
          <w:numId w:val="0"/>
        </w:numPr>
        <w:spacing w:line="360" w:lineRule="auto"/>
        <w:rPr>
          <w:rFonts w:hint="eastAsia" w:ascii="华文中宋" w:hAnsi="华文中宋" w:eastAsia="华文中宋" w:cs="华文细黑"/>
          <w:b/>
          <w:bCs/>
          <w:sz w:val="24"/>
          <w:lang w:val="en-US" w:eastAsia="zh-CN"/>
        </w:rPr>
      </w:pPr>
    </w:p>
    <w:p>
      <w:pPr>
        <w:numPr>
          <w:ilvl w:val="0"/>
          <w:numId w:val="0"/>
        </w:numPr>
        <w:spacing w:line="360" w:lineRule="auto"/>
        <w:rPr>
          <w:rFonts w:hint="eastAsia" w:ascii="华文中宋" w:hAnsi="华文中宋" w:eastAsia="华文中宋" w:cs="华文细黑"/>
          <w:b/>
          <w:bCs/>
          <w:sz w:val="24"/>
          <w:lang w:val="en-US" w:eastAsia="zh-CN"/>
        </w:rPr>
      </w:pPr>
    </w:p>
    <w:p>
      <w:pPr>
        <w:numPr>
          <w:ilvl w:val="0"/>
          <w:numId w:val="0"/>
        </w:numPr>
        <w:spacing w:line="360" w:lineRule="auto"/>
        <w:rPr>
          <w:rFonts w:hint="eastAsia" w:ascii="华文中宋" w:hAnsi="华文中宋" w:eastAsia="华文中宋" w:cs="华文细黑"/>
          <w:b/>
          <w:bCs/>
          <w:sz w:val="24"/>
          <w:lang w:val="en-US" w:eastAsia="zh-CN"/>
        </w:rPr>
      </w:pPr>
      <w:bookmarkStart w:id="0" w:name="_GoBack"/>
      <w:bookmarkEnd w:id="0"/>
    </w:p>
    <w:p>
      <w:pPr>
        <w:numPr>
          <w:ilvl w:val="0"/>
          <w:numId w:val="0"/>
        </w:numPr>
        <w:spacing w:line="360" w:lineRule="auto"/>
        <w:rPr>
          <w:rFonts w:hint="eastAsia" w:ascii="华文中宋" w:hAnsi="华文中宋" w:eastAsia="华文中宋" w:cs="华文细黑"/>
          <w:b/>
          <w:bCs/>
          <w:sz w:val="24"/>
          <w:lang w:val="en-US" w:eastAsia="zh-CN"/>
        </w:rPr>
      </w:pPr>
    </w:p>
    <w:p>
      <w:pPr>
        <w:numPr>
          <w:ilvl w:val="0"/>
          <w:numId w:val="0"/>
        </w:numPr>
        <w:spacing w:line="360" w:lineRule="auto"/>
        <w:rPr>
          <w:rFonts w:hint="eastAsia" w:ascii="华文中宋" w:hAnsi="华文中宋" w:eastAsia="华文中宋" w:cs="华文细黑"/>
          <w:b/>
          <w:bCs/>
          <w:sz w:val="24"/>
          <w:lang w:val="en-US" w:eastAsia="zh-CN"/>
        </w:rPr>
      </w:pPr>
    </w:p>
    <w:p>
      <w:pPr>
        <w:numPr>
          <w:ilvl w:val="0"/>
          <w:numId w:val="0"/>
        </w:numPr>
        <w:spacing w:line="360" w:lineRule="auto"/>
        <w:rPr>
          <w:rFonts w:hint="eastAsia" w:ascii="华文中宋" w:hAnsi="华文中宋" w:eastAsia="华文中宋" w:cs="华文细黑"/>
          <w:b/>
          <w:bCs/>
          <w:sz w:val="24"/>
          <w:lang w:val="en-US" w:eastAsia="zh-CN"/>
        </w:rPr>
      </w:pPr>
      <w:r>
        <w:rPr>
          <w:rFonts w:hint="eastAsia" w:ascii="华文中宋" w:hAnsi="华文中宋" w:eastAsia="华文中宋" w:cs="华文细黑"/>
          <w:b/>
          <w:bCs/>
          <w:sz w:val="24"/>
          <w:lang w:val="en-US" w:eastAsia="zh-CN"/>
        </w:rPr>
        <w:t>四、工程质量二类问题项</w:t>
      </w:r>
    </w:p>
    <w:tbl>
      <w:tblPr>
        <w:tblStyle w:val="6"/>
        <w:tblW w:w="95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1264"/>
        <w:gridCol w:w="5296"/>
        <w:gridCol w:w="1408"/>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tcPr>
          <w:p>
            <w:pPr>
              <w:numPr>
                <w:ilvl w:val="0"/>
                <w:numId w:val="0"/>
              </w:numPr>
              <w:spacing w:line="360" w:lineRule="auto"/>
              <w:jc w:val="center"/>
              <w:rPr>
                <w:rFonts w:hint="eastAsia" w:ascii="楷体" w:hAnsi="楷体" w:eastAsia="楷体" w:cs="楷体"/>
                <w:b/>
                <w:bCs/>
                <w:color w:val="auto"/>
                <w:sz w:val="24"/>
                <w:szCs w:val="24"/>
                <w:vertAlign w:val="baseline"/>
                <w:lang w:val="en-US" w:eastAsia="zh-CN"/>
              </w:rPr>
            </w:pPr>
            <w:r>
              <w:rPr>
                <w:rFonts w:hint="eastAsia" w:ascii="楷体" w:hAnsi="楷体" w:eastAsia="楷体" w:cs="楷体"/>
                <w:b/>
                <w:bCs/>
                <w:color w:val="auto"/>
                <w:sz w:val="24"/>
                <w:szCs w:val="24"/>
                <w:vertAlign w:val="baseline"/>
                <w:lang w:val="en-US" w:eastAsia="zh-CN"/>
              </w:rPr>
              <w:t>序号</w:t>
            </w:r>
          </w:p>
        </w:tc>
        <w:tc>
          <w:tcPr>
            <w:tcW w:w="1264" w:type="dxa"/>
          </w:tcPr>
          <w:p>
            <w:pPr>
              <w:numPr>
                <w:ilvl w:val="0"/>
                <w:numId w:val="0"/>
              </w:numPr>
              <w:spacing w:line="360" w:lineRule="auto"/>
              <w:rPr>
                <w:rFonts w:hint="eastAsia" w:ascii="楷体" w:hAnsi="楷体" w:eastAsia="楷体" w:cs="楷体"/>
                <w:b/>
                <w:bCs/>
                <w:color w:val="auto"/>
                <w:sz w:val="24"/>
                <w:szCs w:val="24"/>
                <w:vertAlign w:val="baseline"/>
                <w:lang w:val="en-US" w:eastAsia="zh-CN"/>
              </w:rPr>
            </w:pPr>
            <w:r>
              <w:rPr>
                <w:rFonts w:hint="eastAsia" w:ascii="楷体" w:hAnsi="楷体" w:eastAsia="楷体" w:cs="楷体"/>
                <w:b/>
                <w:bCs/>
                <w:color w:val="auto"/>
                <w:sz w:val="24"/>
                <w:szCs w:val="24"/>
                <w:vertAlign w:val="baseline"/>
                <w:lang w:val="en-US" w:eastAsia="zh-CN"/>
              </w:rPr>
              <w:t>问题类别</w:t>
            </w:r>
          </w:p>
        </w:tc>
        <w:tc>
          <w:tcPr>
            <w:tcW w:w="5296" w:type="dxa"/>
          </w:tcPr>
          <w:p>
            <w:pPr>
              <w:numPr>
                <w:ilvl w:val="0"/>
                <w:numId w:val="0"/>
              </w:numPr>
              <w:spacing w:line="360" w:lineRule="auto"/>
              <w:jc w:val="center"/>
              <w:rPr>
                <w:rFonts w:hint="eastAsia" w:ascii="楷体" w:hAnsi="楷体" w:eastAsia="楷体" w:cs="楷体"/>
                <w:b/>
                <w:bCs/>
                <w:color w:val="auto"/>
                <w:sz w:val="24"/>
                <w:szCs w:val="24"/>
                <w:vertAlign w:val="baseline"/>
                <w:lang w:val="en-US" w:eastAsia="zh-CN"/>
              </w:rPr>
            </w:pPr>
            <w:r>
              <w:rPr>
                <w:rFonts w:hint="eastAsia" w:ascii="楷体" w:hAnsi="楷体" w:eastAsia="楷体" w:cs="楷体"/>
                <w:b/>
                <w:bCs/>
                <w:color w:val="auto"/>
                <w:sz w:val="24"/>
                <w:szCs w:val="24"/>
                <w:vertAlign w:val="baseline"/>
                <w:lang w:val="en-US" w:eastAsia="zh-CN"/>
              </w:rPr>
              <w:t>问题列举</w:t>
            </w:r>
          </w:p>
        </w:tc>
        <w:tc>
          <w:tcPr>
            <w:tcW w:w="1408" w:type="dxa"/>
          </w:tcPr>
          <w:p>
            <w:pPr>
              <w:numPr>
                <w:ilvl w:val="0"/>
                <w:numId w:val="0"/>
              </w:numPr>
              <w:spacing w:line="360" w:lineRule="auto"/>
              <w:jc w:val="center"/>
              <w:rPr>
                <w:rFonts w:hint="eastAsia" w:ascii="楷体" w:hAnsi="楷体" w:eastAsia="楷体" w:cs="楷体"/>
                <w:b/>
                <w:bCs/>
                <w:color w:val="auto"/>
                <w:sz w:val="24"/>
                <w:szCs w:val="24"/>
                <w:vertAlign w:val="baseline"/>
                <w:lang w:val="en-US" w:eastAsia="zh-CN"/>
              </w:rPr>
            </w:pPr>
            <w:r>
              <w:rPr>
                <w:rFonts w:hint="eastAsia" w:ascii="楷体" w:hAnsi="楷体" w:eastAsia="楷体" w:cs="楷体"/>
                <w:b/>
                <w:bCs/>
                <w:color w:val="auto"/>
                <w:sz w:val="24"/>
                <w:szCs w:val="24"/>
                <w:vertAlign w:val="baseline"/>
                <w:lang w:val="en-US" w:eastAsia="zh-CN"/>
              </w:rPr>
              <w:t>罚款</w:t>
            </w:r>
          </w:p>
        </w:tc>
        <w:tc>
          <w:tcPr>
            <w:tcW w:w="784" w:type="dxa"/>
          </w:tcPr>
          <w:p>
            <w:pPr>
              <w:numPr>
                <w:ilvl w:val="0"/>
                <w:numId w:val="0"/>
              </w:numPr>
              <w:spacing w:line="360" w:lineRule="auto"/>
              <w:jc w:val="center"/>
              <w:rPr>
                <w:rFonts w:hint="eastAsia" w:ascii="楷体" w:hAnsi="楷体" w:eastAsia="楷体" w:cs="楷体"/>
                <w:b/>
                <w:bCs/>
                <w:color w:val="auto"/>
                <w:sz w:val="24"/>
                <w:szCs w:val="24"/>
                <w:vertAlign w:val="baseline"/>
                <w:lang w:val="en-US" w:eastAsia="zh-CN"/>
              </w:rPr>
            </w:pPr>
            <w:r>
              <w:rPr>
                <w:rFonts w:hint="eastAsia" w:ascii="楷体" w:hAnsi="楷体" w:eastAsia="楷体" w:cs="楷体"/>
                <w:b/>
                <w:bCs/>
                <w:color w:val="auto"/>
                <w:sz w:val="24"/>
                <w:szCs w:val="24"/>
                <w:vertAlign w:val="baseline"/>
                <w:lang w:val="en-US" w:eastAsia="zh-CN"/>
              </w:rPr>
              <w:t>黄牌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numPr>
                <w:ilvl w:val="0"/>
                <w:numId w:val="0"/>
              </w:numPr>
              <w:spacing w:line="24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1</w:t>
            </w:r>
          </w:p>
        </w:tc>
        <w:tc>
          <w:tcPr>
            <w:tcW w:w="1264" w:type="dxa"/>
            <w:vMerge w:val="restart"/>
            <w:vAlign w:val="center"/>
          </w:tcPr>
          <w:p>
            <w:pPr>
              <w:numPr>
                <w:ilvl w:val="0"/>
                <w:numId w:val="0"/>
              </w:numPr>
              <w:spacing w:line="24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t>基础部分</w:t>
            </w:r>
          </w:p>
        </w:tc>
        <w:tc>
          <w:tcPr>
            <w:tcW w:w="5296" w:type="dxa"/>
            <w:vAlign w:val="center"/>
          </w:tcPr>
          <w:p>
            <w:pPr>
              <w:numPr>
                <w:ilvl w:val="0"/>
                <w:numId w:val="0"/>
              </w:numPr>
              <w:spacing w:line="240" w:lineRule="auto"/>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预制管桩桩芯钢筋笼长度不符合设计要求</w:t>
            </w:r>
          </w:p>
        </w:tc>
        <w:tc>
          <w:tcPr>
            <w:tcW w:w="1408"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w:t>
            </w:r>
          </w:p>
        </w:tc>
        <w:tc>
          <w:tcPr>
            <w:tcW w:w="784"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numPr>
                <w:ilvl w:val="0"/>
                <w:numId w:val="0"/>
              </w:numPr>
              <w:spacing w:line="24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w:t>
            </w:r>
          </w:p>
        </w:tc>
        <w:tc>
          <w:tcPr>
            <w:tcW w:w="1264" w:type="dxa"/>
            <w:vMerge w:val="continue"/>
            <w:vAlign w:val="center"/>
          </w:tcPr>
          <w:p>
            <w:pPr>
              <w:numPr>
                <w:ilvl w:val="0"/>
                <w:numId w:val="0"/>
              </w:numPr>
              <w:spacing w:line="24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p>
        </w:tc>
        <w:tc>
          <w:tcPr>
            <w:tcW w:w="5296" w:type="dxa"/>
            <w:vAlign w:val="center"/>
          </w:tcPr>
          <w:p>
            <w:pPr>
              <w:numPr>
                <w:ilvl w:val="0"/>
                <w:numId w:val="0"/>
              </w:numPr>
              <w:spacing w:line="240" w:lineRule="auto"/>
              <w:rPr>
                <w:rFonts w:hint="eastAsia"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无</w:t>
            </w:r>
            <w:r>
              <w:rPr>
                <w:rFonts w:hint="eastAsia" w:ascii="楷体" w:hAnsi="楷体" w:eastAsia="楷体" w:cs="楷体"/>
                <w:b w:val="0"/>
                <w:bCs w:val="0"/>
                <w:color w:val="000000" w:themeColor="text1"/>
                <w:sz w:val="24"/>
                <w:szCs w:val="24"/>
                <w14:textFill>
                  <w14:solidFill>
                    <w14:schemeClr w14:val="tx1"/>
                  </w14:solidFill>
                </w14:textFill>
              </w:rPr>
              <w:t>大体积砼</w:t>
            </w:r>
            <w:r>
              <w:rPr>
                <w:rFonts w:hint="eastAsia" w:ascii="楷体" w:hAnsi="楷体" w:eastAsia="楷体" w:cs="楷体"/>
                <w:b w:val="0"/>
                <w:bCs w:val="0"/>
                <w:color w:val="000000" w:themeColor="text1"/>
                <w:sz w:val="24"/>
                <w:szCs w:val="24"/>
                <w:lang w:val="en-US" w:eastAsia="zh-CN"/>
                <w14:textFill>
                  <w14:solidFill>
                    <w14:schemeClr w14:val="tx1"/>
                  </w14:solidFill>
                </w14:textFill>
              </w:rPr>
              <w:t>浇筑方案或不按方案执行</w:t>
            </w:r>
          </w:p>
        </w:tc>
        <w:tc>
          <w:tcPr>
            <w:tcW w:w="1408"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w:t>
            </w:r>
          </w:p>
        </w:tc>
        <w:tc>
          <w:tcPr>
            <w:tcW w:w="784"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numPr>
                <w:ilvl w:val="0"/>
                <w:numId w:val="0"/>
              </w:numPr>
              <w:spacing w:line="24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3</w:t>
            </w:r>
          </w:p>
        </w:tc>
        <w:tc>
          <w:tcPr>
            <w:tcW w:w="1264" w:type="dxa"/>
            <w:vMerge w:val="continue"/>
            <w:vAlign w:val="center"/>
          </w:tcPr>
          <w:p>
            <w:pPr>
              <w:numPr>
                <w:ilvl w:val="0"/>
                <w:numId w:val="0"/>
              </w:numPr>
              <w:spacing w:line="24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p>
        </w:tc>
        <w:tc>
          <w:tcPr>
            <w:tcW w:w="5296" w:type="dxa"/>
            <w:vAlign w:val="center"/>
          </w:tcPr>
          <w:p>
            <w:pPr>
              <w:numPr>
                <w:ilvl w:val="0"/>
                <w:numId w:val="0"/>
              </w:numPr>
              <w:spacing w:line="240" w:lineRule="auto"/>
              <w:rPr>
                <w:rFonts w:hint="eastAsia"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地库无抗浮降水方案或不按方案执行；或地库顶板回土前降水停止后没有采取抗浮措施</w:t>
            </w:r>
          </w:p>
        </w:tc>
        <w:tc>
          <w:tcPr>
            <w:tcW w:w="1408"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w:t>
            </w:r>
          </w:p>
        </w:tc>
        <w:tc>
          <w:tcPr>
            <w:tcW w:w="784"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numPr>
                <w:ilvl w:val="0"/>
                <w:numId w:val="0"/>
              </w:numPr>
              <w:spacing w:line="24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4</w:t>
            </w:r>
          </w:p>
        </w:tc>
        <w:tc>
          <w:tcPr>
            <w:tcW w:w="1264" w:type="dxa"/>
            <w:vMerge w:val="continue"/>
            <w:vAlign w:val="center"/>
          </w:tcPr>
          <w:p>
            <w:pPr>
              <w:numPr>
                <w:ilvl w:val="0"/>
                <w:numId w:val="0"/>
              </w:numPr>
              <w:spacing w:line="24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p>
        </w:tc>
        <w:tc>
          <w:tcPr>
            <w:tcW w:w="5296" w:type="dxa"/>
            <w:vAlign w:val="center"/>
          </w:tcPr>
          <w:p>
            <w:pPr>
              <w:numPr>
                <w:ilvl w:val="0"/>
                <w:numId w:val="0"/>
              </w:numPr>
              <w:spacing w:line="240" w:lineRule="auto"/>
              <w:rPr>
                <w:rFonts w:hint="eastAsia"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1万平米以下车库梁板裂缝5处以上，1万平米以上车库梁板裂缝10处以上</w:t>
            </w:r>
          </w:p>
        </w:tc>
        <w:tc>
          <w:tcPr>
            <w:tcW w:w="1408"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w:t>
            </w:r>
          </w:p>
        </w:tc>
        <w:tc>
          <w:tcPr>
            <w:tcW w:w="784"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numPr>
                <w:ilvl w:val="0"/>
                <w:numId w:val="0"/>
              </w:numPr>
              <w:spacing w:line="24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5</w:t>
            </w:r>
          </w:p>
        </w:tc>
        <w:tc>
          <w:tcPr>
            <w:tcW w:w="1264" w:type="dxa"/>
            <w:vMerge w:val="continue"/>
            <w:vAlign w:val="center"/>
          </w:tcPr>
          <w:p>
            <w:pPr>
              <w:numPr>
                <w:ilvl w:val="0"/>
                <w:numId w:val="0"/>
              </w:numPr>
              <w:spacing w:line="24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p>
        </w:tc>
        <w:tc>
          <w:tcPr>
            <w:tcW w:w="5296" w:type="dxa"/>
            <w:vAlign w:val="center"/>
          </w:tcPr>
          <w:p>
            <w:pPr>
              <w:numPr>
                <w:ilvl w:val="0"/>
                <w:numId w:val="0"/>
              </w:numPr>
              <w:spacing w:line="240" w:lineRule="auto"/>
              <w:rPr>
                <w:rFonts w:hint="eastAsia"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地下室顶板专项施工方案未明确施工荷载和行车路线等要求；未考虑施工堆载、施工机械及车辆对顶板的安全影响；未经设计单位荷载确认或专项方案审批手续不完备；</w:t>
            </w:r>
          </w:p>
        </w:tc>
        <w:tc>
          <w:tcPr>
            <w:tcW w:w="1408"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w:t>
            </w:r>
          </w:p>
        </w:tc>
        <w:tc>
          <w:tcPr>
            <w:tcW w:w="784"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numPr>
                <w:ilvl w:val="0"/>
                <w:numId w:val="0"/>
              </w:numPr>
              <w:spacing w:line="24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6</w:t>
            </w:r>
          </w:p>
        </w:tc>
        <w:tc>
          <w:tcPr>
            <w:tcW w:w="1264" w:type="dxa"/>
            <w:vMerge w:val="restart"/>
            <w:vAlign w:val="center"/>
          </w:tcPr>
          <w:p>
            <w:pPr>
              <w:numPr>
                <w:ilvl w:val="0"/>
                <w:numId w:val="0"/>
              </w:numPr>
              <w:spacing w:line="24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t>钢筋</w:t>
            </w:r>
          </w:p>
        </w:tc>
        <w:tc>
          <w:tcPr>
            <w:tcW w:w="5296" w:type="dxa"/>
            <w:vAlign w:val="center"/>
          </w:tcPr>
          <w:p>
            <w:pPr>
              <w:numPr>
                <w:ilvl w:val="0"/>
                <w:numId w:val="0"/>
              </w:numPr>
              <w:spacing w:line="240" w:lineRule="auto"/>
              <w:rPr>
                <w:rFonts w:hint="eastAsia"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1.</w:t>
            </w:r>
            <w:r>
              <w:rPr>
                <w:rFonts w:hint="eastAsia" w:ascii="楷体" w:hAnsi="楷体" w:eastAsia="楷体" w:cs="楷体"/>
                <w:b w:val="0"/>
                <w:bCs w:val="0"/>
                <w:color w:val="000000" w:themeColor="text1"/>
                <w:sz w:val="24"/>
                <w:szCs w:val="24"/>
                <w14:textFill>
                  <w14:solidFill>
                    <w14:schemeClr w14:val="tx1"/>
                  </w14:solidFill>
                </w14:textFill>
              </w:rPr>
              <w:t>钢筋</w:t>
            </w:r>
            <w:r>
              <w:rPr>
                <w:rFonts w:hint="eastAsia" w:ascii="楷体" w:hAnsi="楷体" w:eastAsia="楷体" w:cs="楷体"/>
                <w:b w:val="0"/>
                <w:bCs w:val="0"/>
                <w:color w:val="000000" w:themeColor="text1"/>
                <w:sz w:val="24"/>
                <w:szCs w:val="24"/>
                <w:lang w:val="en-US" w:eastAsia="zh-CN"/>
                <w14:textFill>
                  <w14:solidFill>
                    <w14:schemeClr w14:val="tx1"/>
                  </w14:solidFill>
                </w14:textFill>
              </w:rPr>
              <w:t>质保书与检验报告不符合要求；</w:t>
            </w:r>
          </w:p>
          <w:p>
            <w:pPr>
              <w:numPr>
                <w:ilvl w:val="0"/>
                <w:numId w:val="0"/>
              </w:numPr>
              <w:spacing w:line="240" w:lineRule="auto"/>
              <w:rPr>
                <w:rFonts w:hint="eastAsia" w:ascii="楷体" w:hAnsi="楷体" w:eastAsia="楷体" w:cs="楷体"/>
                <w:color w:val="000000" w:themeColor="text1"/>
                <w:sz w:val="24"/>
                <w:szCs w:val="24"/>
                <w:lang w:val="en-US" w:eastAsia="zh-CN"/>
                <w14:textFill>
                  <w14:solidFill>
                    <w14:schemeClr w14:val="tx1"/>
                  </w14:solidFill>
                </w14:textFill>
              </w:rPr>
            </w:pPr>
            <w:r>
              <w:rPr>
                <w:rFonts w:hint="eastAsia" w:ascii="楷体" w:hAnsi="楷体" w:eastAsia="楷体" w:cs="楷体"/>
                <w:color w:val="000000" w:themeColor="text1"/>
                <w:sz w:val="24"/>
                <w:szCs w:val="24"/>
                <w:lang w:val="en-US" w:eastAsia="zh-CN"/>
                <w14:textFill>
                  <w14:solidFill>
                    <w14:schemeClr w14:val="tx1"/>
                  </w14:solidFill>
                </w14:textFill>
              </w:rPr>
              <w:t>2.</w:t>
            </w:r>
            <w:r>
              <w:rPr>
                <w:rFonts w:hint="eastAsia" w:ascii="楷体" w:hAnsi="楷体" w:eastAsia="楷体" w:cs="楷体"/>
                <w:color w:val="000000" w:themeColor="text1"/>
                <w:sz w:val="24"/>
                <w:szCs w:val="24"/>
                <w14:textFill>
                  <w14:solidFill>
                    <w14:schemeClr w14:val="tx1"/>
                  </w14:solidFill>
                </w14:textFill>
              </w:rPr>
              <w:t>直螺纹套筒、电渣压力焊没有工艺检验报告。没有按规定批次进行检验</w:t>
            </w:r>
            <w:r>
              <w:rPr>
                <w:rFonts w:hint="eastAsia" w:ascii="楷体" w:hAnsi="楷体" w:eastAsia="楷体" w:cs="楷体"/>
                <w:color w:val="000000" w:themeColor="text1"/>
                <w:sz w:val="24"/>
                <w:szCs w:val="24"/>
                <w:lang w:val="en-US" w:eastAsia="zh-CN"/>
                <w14:textFill>
                  <w14:solidFill>
                    <w14:schemeClr w14:val="tx1"/>
                  </w14:solidFill>
                </w14:textFill>
              </w:rPr>
              <w:t>；</w:t>
            </w:r>
          </w:p>
          <w:p>
            <w:pPr>
              <w:numPr>
                <w:ilvl w:val="0"/>
                <w:numId w:val="0"/>
              </w:numPr>
              <w:spacing w:line="240" w:lineRule="auto"/>
              <w:rPr>
                <w:rFonts w:hint="eastAsia" w:ascii="楷体" w:hAnsi="楷体" w:eastAsia="楷体" w:cs="楷体"/>
                <w:color w:val="000000" w:themeColor="text1"/>
                <w:sz w:val="24"/>
                <w:szCs w:val="24"/>
                <w:lang w:val="en-US" w:eastAsia="zh-CN"/>
                <w14:textFill>
                  <w14:solidFill>
                    <w14:schemeClr w14:val="tx1"/>
                  </w14:solidFill>
                </w14:textFill>
              </w:rPr>
            </w:pPr>
            <w:r>
              <w:rPr>
                <w:rFonts w:hint="eastAsia" w:ascii="楷体" w:hAnsi="楷体" w:eastAsia="楷体" w:cs="楷体"/>
                <w:color w:val="000000" w:themeColor="text1"/>
                <w:sz w:val="24"/>
                <w:szCs w:val="24"/>
                <w:lang w:val="en-US" w:eastAsia="zh-CN"/>
                <w14:textFill>
                  <w14:solidFill>
                    <w14:schemeClr w14:val="tx1"/>
                  </w14:solidFill>
                </w14:textFill>
              </w:rPr>
              <w:t>合4份及以上</w:t>
            </w:r>
          </w:p>
        </w:tc>
        <w:tc>
          <w:tcPr>
            <w:tcW w:w="1408" w:type="dxa"/>
            <w:vAlign w:val="center"/>
          </w:tcPr>
          <w:p>
            <w:pPr>
              <w:numPr>
                <w:ilvl w:val="0"/>
                <w:numId w:val="0"/>
              </w:numPr>
              <w:spacing w:line="24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2000（单份500)</w:t>
            </w:r>
          </w:p>
        </w:tc>
        <w:tc>
          <w:tcPr>
            <w:tcW w:w="784"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numPr>
                <w:ilvl w:val="0"/>
                <w:numId w:val="0"/>
              </w:numPr>
              <w:spacing w:line="24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7</w:t>
            </w:r>
          </w:p>
        </w:tc>
        <w:tc>
          <w:tcPr>
            <w:tcW w:w="1264" w:type="dxa"/>
            <w:vMerge w:val="continue"/>
            <w:vAlign w:val="center"/>
          </w:tcPr>
          <w:p>
            <w:pPr>
              <w:numPr>
                <w:ilvl w:val="0"/>
                <w:numId w:val="0"/>
              </w:numPr>
              <w:spacing w:line="24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p>
        </w:tc>
        <w:tc>
          <w:tcPr>
            <w:tcW w:w="5296" w:type="dxa"/>
            <w:vAlign w:val="center"/>
          </w:tcPr>
          <w:p>
            <w:pPr>
              <w:keepNext w:val="0"/>
              <w:keepLines w:val="0"/>
              <w:widowControl/>
              <w:numPr>
                <w:ilvl w:val="0"/>
                <w:numId w:val="10"/>
              </w:numPr>
              <w:suppressLineNumbers w:val="0"/>
              <w:spacing w:line="240" w:lineRule="auto"/>
              <w:jc w:val="left"/>
              <w:textAlignment w:val="center"/>
              <w:rPr>
                <w:rFonts w:hint="eastAsia" w:ascii="楷体" w:hAnsi="楷体" w:eastAsia="楷体" w:cs="楷体"/>
                <w:i w:val="0"/>
                <w:color w:val="000000" w:themeColor="text1"/>
                <w:kern w:val="0"/>
                <w:sz w:val="24"/>
                <w:szCs w:val="24"/>
                <w:u w:val="none"/>
                <w:lang w:val="en-US" w:eastAsia="zh-CN" w:bidi="ar"/>
                <w14:textFill>
                  <w14:solidFill>
                    <w14:schemeClr w14:val="tx1"/>
                  </w14:solidFill>
                </w14:textFill>
              </w:rPr>
            </w:pPr>
            <w:r>
              <w:rPr>
                <w:rFonts w:hint="eastAsia" w:ascii="楷体" w:hAnsi="楷体" w:eastAsia="楷体" w:cs="楷体"/>
                <w:i w:val="0"/>
                <w:color w:val="000000" w:themeColor="text1"/>
                <w:kern w:val="0"/>
                <w:sz w:val="24"/>
                <w:szCs w:val="24"/>
                <w:u w:val="none"/>
                <w:lang w:val="en-US" w:eastAsia="zh-CN" w:bidi="ar"/>
                <w14:textFill>
                  <w14:solidFill>
                    <w14:schemeClr w14:val="tx1"/>
                  </w14:solidFill>
                </w14:textFill>
              </w:rPr>
              <w:t>钢筋数量不满足设计图纸要求；2.钢筋安装间距不符合要求（连续量三档）3处以上；3.预埋套管破坏主筋；4. 箍筋(数量、尺寸、弯钩)不满足规范及设计图纸要求，5处以上；5.钢筋数量缺失及规格不满足要求，存在3处及以上；</w:t>
            </w:r>
          </w:p>
          <w:p>
            <w:pPr>
              <w:numPr>
                <w:ilvl w:val="0"/>
                <w:numId w:val="0"/>
              </w:numPr>
              <w:spacing w:line="240" w:lineRule="auto"/>
              <w:rPr>
                <w:rFonts w:hint="eastAsia" w:ascii="楷体" w:hAnsi="楷体" w:eastAsia="楷体" w:cs="楷体"/>
                <w:b w:val="0"/>
                <w:bCs w:val="0"/>
                <w:color w:val="000000" w:themeColor="text1"/>
                <w:sz w:val="24"/>
                <w:szCs w:val="24"/>
                <w14:textFill>
                  <w14:solidFill>
                    <w14:schemeClr w14:val="tx1"/>
                  </w14:solidFill>
                </w14:textFill>
              </w:rPr>
            </w:pPr>
            <w:r>
              <w:rPr>
                <w:rFonts w:hint="eastAsia" w:ascii="楷体" w:hAnsi="楷体" w:eastAsia="楷体" w:cs="楷体"/>
                <w:i w:val="0"/>
                <w:color w:val="000000" w:themeColor="text1"/>
                <w:kern w:val="0"/>
                <w:sz w:val="24"/>
                <w:szCs w:val="24"/>
                <w:u w:val="none"/>
                <w:lang w:val="en-US" w:eastAsia="zh-CN" w:bidi="ar"/>
                <w14:textFill>
                  <w14:solidFill>
                    <w14:schemeClr w14:val="tx1"/>
                  </w14:solidFill>
                </w14:textFill>
              </w:rPr>
              <w:t>合4条以上</w:t>
            </w:r>
          </w:p>
        </w:tc>
        <w:tc>
          <w:tcPr>
            <w:tcW w:w="1408" w:type="dxa"/>
            <w:vAlign w:val="center"/>
          </w:tcPr>
          <w:p>
            <w:pPr>
              <w:numPr>
                <w:ilvl w:val="0"/>
                <w:numId w:val="0"/>
              </w:numPr>
              <w:spacing w:line="24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2000（单条500）</w:t>
            </w:r>
          </w:p>
        </w:tc>
        <w:tc>
          <w:tcPr>
            <w:tcW w:w="784"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numPr>
                <w:ilvl w:val="0"/>
                <w:numId w:val="0"/>
              </w:numPr>
              <w:spacing w:line="24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8</w:t>
            </w:r>
          </w:p>
        </w:tc>
        <w:tc>
          <w:tcPr>
            <w:tcW w:w="1264" w:type="dxa"/>
            <w:vMerge w:val="continue"/>
            <w:vAlign w:val="center"/>
          </w:tcPr>
          <w:p>
            <w:pPr>
              <w:numPr>
                <w:ilvl w:val="0"/>
                <w:numId w:val="0"/>
              </w:numPr>
              <w:spacing w:line="24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p>
        </w:tc>
        <w:tc>
          <w:tcPr>
            <w:tcW w:w="5296" w:type="dxa"/>
            <w:vAlign w:val="center"/>
          </w:tcPr>
          <w:p>
            <w:pPr>
              <w:numPr>
                <w:ilvl w:val="0"/>
                <w:numId w:val="0"/>
              </w:numPr>
              <w:spacing w:line="240" w:lineRule="auto"/>
              <w:rPr>
                <w:rFonts w:hint="eastAsia"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1.</w:t>
            </w:r>
            <w:r>
              <w:rPr>
                <w:rFonts w:hint="eastAsia" w:ascii="楷体" w:hAnsi="楷体" w:eastAsia="楷体" w:cs="楷体"/>
                <w:b w:val="0"/>
                <w:bCs w:val="0"/>
                <w:color w:val="000000" w:themeColor="text1"/>
                <w:sz w:val="24"/>
                <w:szCs w:val="24"/>
                <w14:textFill>
                  <w14:solidFill>
                    <w14:schemeClr w14:val="tx1"/>
                  </w14:solidFill>
                </w14:textFill>
              </w:rPr>
              <w:t>直螺纹套筒、电渣压力焊</w:t>
            </w:r>
            <w:r>
              <w:rPr>
                <w:rFonts w:hint="eastAsia" w:ascii="楷体" w:hAnsi="楷体" w:eastAsia="楷体" w:cs="楷体"/>
                <w:b w:val="0"/>
                <w:bCs w:val="0"/>
                <w:color w:val="000000" w:themeColor="text1"/>
                <w:sz w:val="24"/>
                <w:szCs w:val="24"/>
                <w:lang w:val="en-US" w:eastAsia="zh-CN"/>
                <w14:textFill>
                  <w14:solidFill>
                    <w14:schemeClr w14:val="tx1"/>
                  </w14:solidFill>
                </w14:textFill>
              </w:rPr>
              <w:t>不合格；</w:t>
            </w:r>
          </w:p>
          <w:p>
            <w:pPr>
              <w:numPr>
                <w:ilvl w:val="0"/>
                <w:numId w:val="0"/>
              </w:numPr>
              <w:spacing w:line="240" w:lineRule="auto"/>
              <w:rPr>
                <w:rFonts w:hint="eastAsia" w:ascii="楷体" w:hAnsi="楷体" w:eastAsia="楷体" w:cs="楷体"/>
                <w:color w:val="000000" w:themeColor="text1"/>
                <w:sz w:val="24"/>
                <w:szCs w:val="24"/>
                <w:lang w:val="en-US" w:eastAsia="zh-CN"/>
                <w14:textFill>
                  <w14:solidFill>
                    <w14:schemeClr w14:val="tx1"/>
                  </w14:solidFill>
                </w14:textFill>
              </w:rPr>
            </w:pPr>
            <w:r>
              <w:rPr>
                <w:rFonts w:hint="eastAsia" w:ascii="楷体" w:hAnsi="楷体" w:eastAsia="楷体" w:cs="楷体"/>
                <w:color w:val="000000" w:themeColor="text1"/>
                <w:sz w:val="24"/>
                <w:szCs w:val="24"/>
                <w:lang w:val="en-US" w:eastAsia="zh-CN"/>
                <w14:textFill>
                  <w14:solidFill>
                    <w14:schemeClr w14:val="tx1"/>
                  </w14:solidFill>
                </w14:textFill>
              </w:rPr>
              <w:t>2.</w:t>
            </w:r>
            <w:r>
              <w:rPr>
                <w:rFonts w:hint="eastAsia" w:ascii="楷体" w:hAnsi="楷体" w:eastAsia="楷体" w:cs="楷体"/>
                <w:color w:val="000000" w:themeColor="text1"/>
                <w:sz w:val="24"/>
                <w:szCs w:val="24"/>
                <w14:textFill>
                  <w14:solidFill>
                    <w14:schemeClr w14:val="tx1"/>
                  </w14:solidFill>
                </w14:textFill>
              </w:rPr>
              <w:t>墙柱钢筋偏位超规范要求的1.5倍以上，且每检验批超10根以上</w:t>
            </w:r>
            <w:r>
              <w:rPr>
                <w:rFonts w:hint="eastAsia" w:ascii="楷体" w:hAnsi="楷体" w:eastAsia="楷体" w:cs="楷体"/>
                <w:color w:val="000000" w:themeColor="text1"/>
                <w:sz w:val="24"/>
                <w:szCs w:val="24"/>
                <w:lang w:val="en-US" w:eastAsia="zh-CN"/>
                <w14:textFill>
                  <w14:solidFill>
                    <w14:schemeClr w14:val="tx1"/>
                  </w14:solidFill>
                </w14:textFill>
              </w:rPr>
              <w:t>；</w:t>
            </w:r>
          </w:p>
          <w:p>
            <w:pPr>
              <w:numPr>
                <w:ilvl w:val="0"/>
                <w:numId w:val="0"/>
              </w:numPr>
              <w:spacing w:line="240" w:lineRule="auto"/>
              <w:rPr>
                <w:rFonts w:hint="eastAsia" w:ascii="楷体" w:hAnsi="楷体" w:eastAsia="楷体" w:cs="楷体"/>
                <w:color w:val="000000" w:themeColor="text1"/>
                <w:sz w:val="24"/>
                <w:szCs w:val="24"/>
                <w:lang w:val="en-US" w:eastAsia="zh-CN"/>
                <w14:textFill>
                  <w14:solidFill>
                    <w14:schemeClr w14:val="tx1"/>
                  </w14:solidFill>
                </w14:textFill>
              </w:rPr>
            </w:pPr>
            <w:r>
              <w:rPr>
                <w:rFonts w:hint="eastAsia" w:ascii="楷体" w:hAnsi="楷体" w:eastAsia="楷体" w:cs="楷体"/>
                <w:color w:val="000000" w:themeColor="text1"/>
                <w:sz w:val="24"/>
                <w:szCs w:val="24"/>
                <w:lang w:val="en-US" w:eastAsia="zh-CN"/>
                <w14:textFill>
                  <w14:solidFill>
                    <w14:schemeClr w14:val="tx1"/>
                  </w14:solidFill>
                </w14:textFill>
              </w:rPr>
              <w:t>合10处及以上</w:t>
            </w:r>
          </w:p>
        </w:tc>
        <w:tc>
          <w:tcPr>
            <w:tcW w:w="1408" w:type="dxa"/>
            <w:vAlign w:val="center"/>
          </w:tcPr>
          <w:p>
            <w:pPr>
              <w:numPr>
                <w:ilvl w:val="0"/>
                <w:numId w:val="0"/>
              </w:numPr>
              <w:spacing w:line="24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2000（5-10处以下罚1000）</w:t>
            </w:r>
          </w:p>
        </w:tc>
        <w:tc>
          <w:tcPr>
            <w:tcW w:w="784"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numPr>
                <w:ilvl w:val="0"/>
                <w:numId w:val="0"/>
              </w:numPr>
              <w:spacing w:line="24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9</w:t>
            </w:r>
          </w:p>
        </w:tc>
        <w:tc>
          <w:tcPr>
            <w:tcW w:w="1264" w:type="dxa"/>
            <w:vMerge w:val="continue"/>
            <w:vAlign w:val="center"/>
          </w:tcPr>
          <w:p>
            <w:pPr>
              <w:numPr>
                <w:ilvl w:val="0"/>
                <w:numId w:val="0"/>
              </w:numPr>
              <w:spacing w:line="24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p>
        </w:tc>
        <w:tc>
          <w:tcPr>
            <w:tcW w:w="5296" w:type="dxa"/>
            <w:vAlign w:val="center"/>
          </w:tcPr>
          <w:p>
            <w:pPr>
              <w:keepNext w:val="0"/>
              <w:keepLines w:val="0"/>
              <w:widowControl/>
              <w:numPr>
                <w:ilvl w:val="0"/>
                <w:numId w:val="11"/>
              </w:numPr>
              <w:suppressLineNumbers w:val="0"/>
              <w:spacing w:line="240" w:lineRule="auto"/>
              <w:jc w:val="left"/>
              <w:textAlignment w:val="center"/>
              <w:rPr>
                <w:rFonts w:hint="eastAsia" w:ascii="楷体" w:hAnsi="楷体" w:eastAsia="楷体" w:cs="楷体"/>
                <w:i w:val="0"/>
                <w:color w:val="000000" w:themeColor="text1"/>
                <w:kern w:val="0"/>
                <w:sz w:val="24"/>
                <w:szCs w:val="24"/>
                <w:u w:val="none"/>
                <w:lang w:val="en-US" w:eastAsia="zh-CN" w:bidi="ar"/>
                <w14:textFill>
                  <w14:solidFill>
                    <w14:schemeClr w14:val="tx1"/>
                  </w14:solidFill>
                </w14:textFill>
              </w:rPr>
            </w:pPr>
            <w:r>
              <w:rPr>
                <w:rFonts w:hint="eastAsia" w:ascii="楷体" w:hAnsi="楷体" w:eastAsia="楷体" w:cs="楷体"/>
                <w:i w:val="0"/>
                <w:color w:val="000000" w:themeColor="text1"/>
                <w:kern w:val="0"/>
                <w:sz w:val="24"/>
                <w:szCs w:val="24"/>
                <w:u w:val="none"/>
                <w:lang w:val="en-US" w:eastAsia="zh-CN" w:bidi="ar"/>
                <w14:textFill>
                  <w14:solidFill>
                    <w14:schemeClr w14:val="tx1"/>
                  </w14:solidFill>
                </w14:textFill>
              </w:rPr>
              <w:t>随意切除、破坏主筋；</w:t>
            </w:r>
          </w:p>
          <w:p>
            <w:pPr>
              <w:keepNext w:val="0"/>
              <w:keepLines w:val="0"/>
              <w:widowControl/>
              <w:numPr>
                <w:ilvl w:val="0"/>
                <w:numId w:val="11"/>
              </w:numPr>
              <w:suppressLineNumbers w:val="0"/>
              <w:spacing w:line="240" w:lineRule="auto"/>
              <w:jc w:val="left"/>
              <w:textAlignment w:val="center"/>
              <w:rPr>
                <w:rFonts w:hint="eastAsia" w:ascii="楷体" w:hAnsi="楷体" w:eastAsia="楷体" w:cs="楷体"/>
                <w:i w:val="0"/>
                <w:color w:val="000000" w:themeColor="text1"/>
                <w:kern w:val="0"/>
                <w:sz w:val="24"/>
                <w:szCs w:val="24"/>
                <w:u w:val="none"/>
                <w:lang w:val="en-US" w:eastAsia="zh-CN" w:bidi="ar"/>
                <w14:textFill>
                  <w14:solidFill>
                    <w14:schemeClr w14:val="tx1"/>
                  </w14:solidFill>
                </w14:textFill>
              </w:rPr>
            </w:pPr>
            <w:r>
              <w:rPr>
                <w:rFonts w:hint="eastAsia" w:ascii="楷体" w:hAnsi="楷体" w:eastAsia="楷体" w:cs="楷体"/>
                <w:i w:val="0"/>
                <w:color w:val="000000" w:themeColor="text1"/>
                <w:kern w:val="0"/>
                <w:sz w:val="24"/>
                <w:szCs w:val="24"/>
                <w:u w:val="none"/>
                <w:lang w:val="en-US" w:eastAsia="zh-CN" w:bidi="ar"/>
                <w14:textFill>
                  <w14:solidFill>
                    <w14:schemeClr w14:val="tx1"/>
                  </w14:solidFill>
                </w14:textFill>
              </w:rPr>
              <w:t>主体结构存在主筋漏设；</w:t>
            </w:r>
          </w:p>
          <w:p>
            <w:pPr>
              <w:keepNext w:val="0"/>
              <w:keepLines w:val="0"/>
              <w:widowControl/>
              <w:numPr>
                <w:ilvl w:val="0"/>
                <w:numId w:val="0"/>
              </w:numPr>
              <w:suppressLineNumbers w:val="0"/>
              <w:spacing w:line="240" w:lineRule="auto"/>
              <w:jc w:val="left"/>
              <w:textAlignment w:val="center"/>
              <w:rPr>
                <w:rFonts w:hint="eastAsia" w:ascii="楷体" w:hAnsi="楷体" w:eastAsia="楷体" w:cs="楷体"/>
                <w:b w:val="0"/>
                <w:bCs w:val="0"/>
                <w:color w:val="000000" w:themeColor="text1"/>
                <w:sz w:val="24"/>
                <w:szCs w:val="24"/>
                <w14:textFill>
                  <w14:solidFill>
                    <w14:schemeClr w14:val="tx1"/>
                  </w14:solidFill>
                </w14:textFill>
              </w:rPr>
            </w:pPr>
            <w:r>
              <w:rPr>
                <w:rFonts w:hint="eastAsia" w:ascii="楷体" w:hAnsi="楷体" w:eastAsia="楷体" w:cs="楷体"/>
                <w:i w:val="0"/>
                <w:color w:val="000000" w:themeColor="text1"/>
                <w:kern w:val="0"/>
                <w:sz w:val="24"/>
                <w:szCs w:val="24"/>
                <w:u w:val="none"/>
                <w:lang w:val="en-US" w:eastAsia="zh-CN" w:bidi="ar"/>
                <w14:textFill>
                  <w14:solidFill>
                    <w14:schemeClr w14:val="tx1"/>
                  </w14:solidFill>
                </w14:textFill>
              </w:rPr>
              <w:t>合4处及以上</w:t>
            </w:r>
          </w:p>
        </w:tc>
        <w:tc>
          <w:tcPr>
            <w:tcW w:w="1408"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2000（每处500）</w:t>
            </w:r>
          </w:p>
        </w:tc>
        <w:tc>
          <w:tcPr>
            <w:tcW w:w="784"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numPr>
                <w:ilvl w:val="0"/>
                <w:numId w:val="0"/>
              </w:numPr>
              <w:spacing w:line="240" w:lineRule="auto"/>
              <w:ind w:left="0" w:leftChars="0" w:firstLine="0" w:firstLineChars="0"/>
              <w:jc w:val="center"/>
              <w:rPr>
                <w:rFonts w:hint="eastAsia" w:ascii="楷体" w:hAnsi="楷体" w:eastAsia="楷体" w:cs="楷体"/>
                <w:b w:val="0"/>
                <w:bCs w:val="0"/>
                <w:color w:val="000000" w:themeColor="text1"/>
                <w:kern w:val="2"/>
                <w:sz w:val="24"/>
                <w:szCs w:val="24"/>
                <w:vertAlign w:val="baseline"/>
                <w:lang w:val="en-US" w:eastAsia="zh-CN" w:bidi="ar-SA"/>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10</w:t>
            </w:r>
          </w:p>
        </w:tc>
        <w:tc>
          <w:tcPr>
            <w:tcW w:w="1264" w:type="dxa"/>
            <w:vMerge w:val="continue"/>
            <w:vAlign w:val="center"/>
          </w:tcPr>
          <w:p>
            <w:pPr>
              <w:numPr>
                <w:ilvl w:val="0"/>
                <w:numId w:val="0"/>
              </w:numPr>
              <w:spacing w:line="24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p>
        </w:tc>
        <w:tc>
          <w:tcPr>
            <w:tcW w:w="5296" w:type="dxa"/>
            <w:vAlign w:val="center"/>
          </w:tcPr>
          <w:p>
            <w:pPr>
              <w:keepNext w:val="0"/>
              <w:keepLines w:val="0"/>
              <w:widowControl/>
              <w:numPr>
                <w:ilvl w:val="0"/>
                <w:numId w:val="0"/>
              </w:numPr>
              <w:suppressLineNumbers w:val="0"/>
              <w:spacing w:line="240" w:lineRule="auto"/>
              <w:jc w:val="left"/>
              <w:textAlignment w:val="center"/>
              <w:rPr>
                <w:rFonts w:hint="eastAsia" w:ascii="楷体" w:hAnsi="楷体" w:eastAsia="楷体" w:cs="楷体"/>
                <w:i w:val="0"/>
                <w:color w:val="000000" w:themeColor="text1"/>
                <w:kern w:val="0"/>
                <w:sz w:val="24"/>
                <w:szCs w:val="24"/>
                <w:u w:val="none"/>
                <w:lang w:val="en-US" w:eastAsia="zh-CN" w:bidi="ar"/>
                <w14:textFill>
                  <w14:solidFill>
                    <w14:schemeClr w14:val="tx1"/>
                  </w14:solidFill>
                </w14:textFill>
              </w:rPr>
            </w:pPr>
            <w:r>
              <w:rPr>
                <w:rFonts w:hint="eastAsia" w:ascii="楷体" w:hAnsi="楷体" w:eastAsia="楷体" w:cs="楷体"/>
                <w:i w:val="0"/>
                <w:color w:val="000000" w:themeColor="text1"/>
                <w:kern w:val="0"/>
                <w:sz w:val="24"/>
                <w:szCs w:val="24"/>
                <w:u w:val="none"/>
                <w:lang w:val="en-US" w:eastAsia="zh-CN" w:bidi="ar"/>
                <w14:textFill>
                  <w14:solidFill>
                    <w14:schemeClr w14:val="tx1"/>
                  </w14:solidFill>
                </w14:textFill>
              </w:rPr>
              <w:t>实测：1.钢筋间距合格率低于80%</w:t>
            </w:r>
          </w:p>
        </w:tc>
        <w:tc>
          <w:tcPr>
            <w:tcW w:w="1408" w:type="dxa"/>
            <w:vAlign w:val="center"/>
          </w:tcPr>
          <w:p>
            <w:pPr>
              <w:numPr>
                <w:ilvl w:val="0"/>
                <w:numId w:val="0"/>
              </w:numPr>
              <w:spacing w:line="24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w:t>
            </w:r>
          </w:p>
        </w:tc>
        <w:tc>
          <w:tcPr>
            <w:tcW w:w="784" w:type="dxa"/>
            <w:vAlign w:val="center"/>
          </w:tcPr>
          <w:p>
            <w:pPr>
              <w:numPr>
                <w:ilvl w:val="0"/>
                <w:numId w:val="0"/>
              </w:numPr>
              <w:spacing w:line="24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numPr>
                <w:ilvl w:val="0"/>
                <w:numId w:val="0"/>
              </w:numPr>
              <w:spacing w:line="240" w:lineRule="auto"/>
              <w:ind w:left="0" w:leftChars="0" w:firstLine="0" w:firstLineChars="0"/>
              <w:jc w:val="center"/>
              <w:rPr>
                <w:rFonts w:hint="default" w:ascii="楷体" w:hAnsi="楷体" w:eastAsia="楷体" w:cs="楷体"/>
                <w:b w:val="0"/>
                <w:bCs w:val="0"/>
                <w:color w:val="000000" w:themeColor="text1"/>
                <w:kern w:val="2"/>
                <w:sz w:val="24"/>
                <w:szCs w:val="24"/>
                <w:vertAlign w:val="baseline"/>
                <w:lang w:val="en-US" w:eastAsia="zh-CN" w:bidi="ar-SA"/>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11</w:t>
            </w:r>
          </w:p>
        </w:tc>
        <w:tc>
          <w:tcPr>
            <w:tcW w:w="1264" w:type="dxa"/>
            <w:vMerge w:val="continue"/>
            <w:vAlign w:val="center"/>
          </w:tcPr>
          <w:p>
            <w:pPr>
              <w:numPr>
                <w:ilvl w:val="0"/>
                <w:numId w:val="0"/>
              </w:numPr>
              <w:spacing w:line="24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p>
        </w:tc>
        <w:tc>
          <w:tcPr>
            <w:tcW w:w="5296" w:type="dxa"/>
            <w:vAlign w:val="center"/>
          </w:tcPr>
          <w:p>
            <w:pPr>
              <w:numPr>
                <w:ilvl w:val="0"/>
                <w:numId w:val="0"/>
              </w:numPr>
              <w:spacing w:line="240" w:lineRule="auto"/>
              <w:rPr>
                <w:rFonts w:hint="eastAsia"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实测：2.钢筋保护层检测合格率低于75%，</w:t>
            </w:r>
          </w:p>
        </w:tc>
        <w:tc>
          <w:tcPr>
            <w:tcW w:w="1408"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w:t>
            </w:r>
          </w:p>
        </w:tc>
        <w:tc>
          <w:tcPr>
            <w:tcW w:w="784"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numPr>
                <w:ilvl w:val="0"/>
                <w:numId w:val="0"/>
              </w:numPr>
              <w:spacing w:line="240" w:lineRule="auto"/>
              <w:ind w:left="0" w:leftChars="0" w:firstLine="0" w:firstLineChars="0"/>
              <w:jc w:val="center"/>
              <w:rPr>
                <w:rFonts w:hint="default" w:ascii="楷体" w:hAnsi="楷体" w:eastAsia="楷体" w:cs="楷体"/>
                <w:b w:val="0"/>
                <w:bCs w:val="0"/>
                <w:color w:val="000000" w:themeColor="text1"/>
                <w:kern w:val="2"/>
                <w:sz w:val="24"/>
                <w:szCs w:val="24"/>
                <w:vertAlign w:val="baseline"/>
                <w:lang w:val="en-US" w:eastAsia="zh-CN" w:bidi="ar-SA"/>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12</w:t>
            </w:r>
          </w:p>
        </w:tc>
        <w:tc>
          <w:tcPr>
            <w:tcW w:w="1264" w:type="dxa"/>
            <w:vMerge w:val="restart"/>
            <w:vAlign w:val="center"/>
          </w:tcPr>
          <w:p>
            <w:pPr>
              <w:numPr>
                <w:ilvl w:val="0"/>
                <w:numId w:val="0"/>
              </w:numPr>
              <w:spacing w:line="240" w:lineRule="auto"/>
              <w:ind w:left="0" w:leftChars="0" w:firstLine="0" w:firstLineChars="0"/>
              <w:jc w:val="both"/>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t>模板支撑</w:t>
            </w:r>
          </w:p>
        </w:tc>
        <w:tc>
          <w:tcPr>
            <w:tcW w:w="5296" w:type="dxa"/>
            <w:vAlign w:val="center"/>
          </w:tcPr>
          <w:p>
            <w:pPr>
              <w:numPr>
                <w:ilvl w:val="0"/>
                <w:numId w:val="0"/>
              </w:numPr>
              <w:spacing w:line="240" w:lineRule="auto"/>
              <w:ind w:left="0" w:leftChars="0" w:firstLine="0" w:firstLineChars="0"/>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大跨度板、悬挑梁板拆模时间不符合规范要求</w:t>
            </w:r>
            <w:r>
              <w:rPr>
                <w:rFonts w:hint="eastAsia" w:ascii="楷体" w:hAnsi="楷体" w:eastAsia="楷体" w:cs="楷体"/>
                <w:color w:val="000000" w:themeColor="text1"/>
                <w:sz w:val="24"/>
                <w:szCs w:val="24"/>
                <w:lang w:eastAsia="zh-CN"/>
                <w14:textFill>
                  <w14:solidFill>
                    <w14:schemeClr w14:val="tx1"/>
                  </w14:solidFill>
                </w14:textFill>
              </w:rPr>
              <w:t>，</w:t>
            </w:r>
            <w:r>
              <w:rPr>
                <w:rFonts w:hint="eastAsia" w:ascii="楷体" w:hAnsi="楷体" w:eastAsia="楷体" w:cs="楷体"/>
                <w:color w:val="000000" w:themeColor="text1"/>
                <w:sz w:val="24"/>
                <w:szCs w:val="24"/>
                <w:lang w:val="en-US" w:eastAsia="zh-CN"/>
                <w14:textFill>
                  <w14:solidFill>
                    <w14:schemeClr w14:val="tx1"/>
                  </w14:solidFill>
                </w14:textFill>
              </w:rPr>
              <w:t>按跨计算；合4处以上</w:t>
            </w:r>
          </w:p>
        </w:tc>
        <w:tc>
          <w:tcPr>
            <w:tcW w:w="1408"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2000（每处500）</w:t>
            </w:r>
          </w:p>
        </w:tc>
        <w:tc>
          <w:tcPr>
            <w:tcW w:w="784"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numPr>
                <w:ilvl w:val="0"/>
                <w:numId w:val="0"/>
              </w:numPr>
              <w:spacing w:line="240" w:lineRule="auto"/>
              <w:ind w:left="0" w:leftChars="0" w:firstLine="0" w:firstLineChars="0"/>
              <w:jc w:val="center"/>
              <w:rPr>
                <w:rFonts w:hint="default" w:ascii="楷体" w:hAnsi="楷体" w:eastAsia="楷体" w:cs="楷体"/>
                <w:b w:val="0"/>
                <w:bCs w:val="0"/>
                <w:color w:val="000000" w:themeColor="text1"/>
                <w:kern w:val="2"/>
                <w:sz w:val="24"/>
                <w:szCs w:val="24"/>
                <w:vertAlign w:val="baseline"/>
                <w:lang w:val="en-US" w:eastAsia="zh-CN" w:bidi="ar-SA"/>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13</w:t>
            </w:r>
          </w:p>
        </w:tc>
        <w:tc>
          <w:tcPr>
            <w:tcW w:w="1264" w:type="dxa"/>
            <w:vMerge w:val="continue"/>
            <w:vAlign w:val="center"/>
          </w:tcPr>
          <w:p>
            <w:pPr>
              <w:numPr>
                <w:ilvl w:val="0"/>
                <w:numId w:val="0"/>
              </w:numPr>
              <w:spacing w:line="240" w:lineRule="auto"/>
              <w:ind w:left="0" w:leftChars="0" w:firstLine="0" w:firstLineChars="0"/>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p>
        </w:tc>
        <w:tc>
          <w:tcPr>
            <w:tcW w:w="5296" w:type="dxa"/>
            <w:vAlign w:val="center"/>
          </w:tcPr>
          <w:p>
            <w:pPr>
              <w:spacing w:line="240" w:lineRule="auto"/>
              <w:rPr>
                <w:rFonts w:hint="eastAsia" w:ascii="楷体" w:hAnsi="楷体" w:eastAsia="楷体" w:cs="楷体"/>
                <w:color w:val="000000" w:themeColor="text1"/>
                <w:sz w:val="24"/>
                <w:szCs w:val="24"/>
                <w:lang w:val="en-US" w:eastAsia="zh-CN"/>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结构设计为简支或连续梁，因施工原因，变成悬臂</w:t>
            </w:r>
            <w:r>
              <w:rPr>
                <w:rFonts w:hint="eastAsia" w:ascii="楷体" w:hAnsi="楷体" w:eastAsia="楷体" w:cs="楷体"/>
                <w:color w:val="000000" w:themeColor="text1"/>
                <w:sz w:val="24"/>
                <w:szCs w:val="24"/>
                <w:lang w:val="en-US" w:eastAsia="zh-CN"/>
                <w14:textFill>
                  <w14:solidFill>
                    <w14:schemeClr w14:val="tx1"/>
                  </w14:solidFill>
                </w14:textFill>
              </w:rPr>
              <w:t>构件</w:t>
            </w:r>
            <w:r>
              <w:rPr>
                <w:rFonts w:hint="eastAsia" w:ascii="楷体" w:hAnsi="楷体" w:eastAsia="楷体" w:cs="楷体"/>
                <w:color w:val="000000" w:themeColor="text1"/>
                <w:sz w:val="24"/>
                <w:szCs w:val="24"/>
                <w14:textFill>
                  <w14:solidFill>
                    <w14:schemeClr w14:val="tx1"/>
                  </w14:solidFill>
                </w14:textFill>
              </w:rPr>
              <w:t>时，</w:t>
            </w:r>
            <w:r>
              <w:rPr>
                <w:rFonts w:hint="eastAsia" w:ascii="楷体" w:hAnsi="楷体" w:eastAsia="楷体" w:cs="楷体"/>
                <w:color w:val="000000" w:themeColor="text1"/>
                <w:sz w:val="24"/>
                <w:szCs w:val="24"/>
                <w:lang w:val="en-US" w:eastAsia="zh-CN"/>
                <w14:textFill>
                  <w14:solidFill>
                    <w14:schemeClr w14:val="tx1"/>
                  </w14:solidFill>
                </w14:textFill>
              </w:rPr>
              <w:t>如</w:t>
            </w:r>
            <w:r>
              <w:rPr>
                <w:rFonts w:hint="eastAsia" w:ascii="楷体" w:hAnsi="楷体" w:eastAsia="楷体" w:cs="楷体"/>
                <w:color w:val="000000" w:themeColor="text1"/>
                <w:sz w:val="24"/>
                <w:szCs w:val="24"/>
                <w14:textFill>
                  <w14:solidFill>
                    <w14:schemeClr w14:val="tx1"/>
                  </w14:solidFill>
                </w14:textFill>
              </w:rPr>
              <w:t>后浇带支撑未搭设独立支撑或独立支撑提前拆除；</w:t>
            </w:r>
            <w:r>
              <w:rPr>
                <w:rFonts w:hint="eastAsia" w:ascii="楷体" w:hAnsi="楷体" w:eastAsia="楷体" w:cs="楷体"/>
                <w:color w:val="000000" w:themeColor="text1"/>
                <w:sz w:val="24"/>
                <w:szCs w:val="24"/>
                <w:lang w:val="en-US" w:eastAsia="zh-CN"/>
                <w14:textFill>
                  <w14:solidFill>
                    <w14:schemeClr w14:val="tx1"/>
                  </w14:solidFill>
                </w14:textFill>
              </w:rPr>
              <w:t>合4处以上</w:t>
            </w:r>
          </w:p>
        </w:tc>
        <w:tc>
          <w:tcPr>
            <w:tcW w:w="1408"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2000（每处500）</w:t>
            </w:r>
          </w:p>
        </w:tc>
        <w:tc>
          <w:tcPr>
            <w:tcW w:w="784"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791" w:type="dxa"/>
            <w:vAlign w:val="center"/>
          </w:tcPr>
          <w:p>
            <w:pPr>
              <w:numPr>
                <w:ilvl w:val="0"/>
                <w:numId w:val="0"/>
              </w:numPr>
              <w:spacing w:line="240" w:lineRule="auto"/>
              <w:ind w:left="0" w:leftChars="0" w:firstLine="0" w:firstLineChars="0"/>
              <w:jc w:val="center"/>
              <w:rPr>
                <w:rFonts w:hint="default" w:ascii="楷体" w:hAnsi="楷体" w:eastAsia="楷体" w:cs="楷体"/>
                <w:b w:val="0"/>
                <w:bCs w:val="0"/>
                <w:color w:val="000000" w:themeColor="text1"/>
                <w:kern w:val="2"/>
                <w:sz w:val="24"/>
                <w:szCs w:val="24"/>
                <w:vertAlign w:val="baseline"/>
                <w:lang w:val="en-US" w:eastAsia="zh-CN" w:bidi="ar-SA"/>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14</w:t>
            </w:r>
          </w:p>
        </w:tc>
        <w:tc>
          <w:tcPr>
            <w:tcW w:w="1264" w:type="dxa"/>
            <w:vMerge w:val="restart"/>
            <w:vAlign w:val="center"/>
          </w:tcPr>
          <w:p>
            <w:pPr>
              <w:numPr>
                <w:ilvl w:val="0"/>
                <w:numId w:val="0"/>
              </w:numPr>
              <w:spacing w:line="240" w:lineRule="auto"/>
              <w:ind w:left="0" w:leftChars="0" w:firstLine="0" w:firstLineChars="0"/>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t>混凝土</w:t>
            </w:r>
          </w:p>
        </w:tc>
        <w:tc>
          <w:tcPr>
            <w:tcW w:w="5296" w:type="dxa"/>
            <w:vAlign w:val="center"/>
          </w:tcPr>
          <w:p>
            <w:pPr>
              <w:numPr>
                <w:ilvl w:val="0"/>
                <w:numId w:val="0"/>
              </w:numPr>
              <w:spacing w:line="240" w:lineRule="auto"/>
              <w:ind w:left="0" w:leftChars="0" w:firstLine="0" w:firstLineChars="0"/>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混凝土浇筑过程加水</w:t>
            </w:r>
          </w:p>
        </w:tc>
        <w:tc>
          <w:tcPr>
            <w:tcW w:w="1408"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w:t>
            </w:r>
          </w:p>
        </w:tc>
        <w:tc>
          <w:tcPr>
            <w:tcW w:w="784"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numPr>
                <w:ilvl w:val="0"/>
                <w:numId w:val="0"/>
              </w:numPr>
              <w:spacing w:line="240" w:lineRule="auto"/>
              <w:ind w:left="0" w:leftChars="0" w:firstLine="0" w:firstLineChars="0"/>
              <w:jc w:val="center"/>
              <w:rPr>
                <w:rFonts w:hint="default" w:ascii="楷体" w:hAnsi="楷体" w:eastAsia="楷体" w:cs="楷体"/>
                <w:b w:val="0"/>
                <w:bCs w:val="0"/>
                <w:color w:val="000000" w:themeColor="text1"/>
                <w:kern w:val="2"/>
                <w:sz w:val="24"/>
                <w:szCs w:val="24"/>
                <w:vertAlign w:val="baseline"/>
                <w:lang w:val="en-US" w:eastAsia="zh-CN" w:bidi="ar-SA"/>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15</w:t>
            </w:r>
          </w:p>
        </w:tc>
        <w:tc>
          <w:tcPr>
            <w:tcW w:w="1264" w:type="dxa"/>
            <w:vMerge w:val="continue"/>
            <w:vAlign w:val="center"/>
          </w:tcPr>
          <w:p>
            <w:pPr>
              <w:numPr>
                <w:ilvl w:val="0"/>
                <w:numId w:val="0"/>
              </w:numPr>
              <w:spacing w:line="240" w:lineRule="auto"/>
              <w:ind w:left="0" w:leftChars="0" w:firstLine="0" w:firstLineChars="0"/>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p>
        </w:tc>
        <w:tc>
          <w:tcPr>
            <w:tcW w:w="5296" w:type="dxa"/>
            <w:vAlign w:val="center"/>
          </w:tcPr>
          <w:p>
            <w:pPr>
              <w:numPr>
                <w:ilvl w:val="0"/>
                <w:numId w:val="0"/>
              </w:numPr>
              <w:spacing w:line="240" w:lineRule="auto"/>
              <w:ind w:left="0" w:leftChars="0" w:firstLine="0" w:firstLineChars="0"/>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混凝土坍落度测定与设计配合比规定大于3cm以上仍在使用</w:t>
            </w:r>
          </w:p>
        </w:tc>
        <w:tc>
          <w:tcPr>
            <w:tcW w:w="1408"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w:t>
            </w:r>
          </w:p>
        </w:tc>
        <w:tc>
          <w:tcPr>
            <w:tcW w:w="784"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91" w:type="dxa"/>
            <w:vAlign w:val="center"/>
          </w:tcPr>
          <w:p>
            <w:pPr>
              <w:numPr>
                <w:ilvl w:val="0"/>
                <w:numId w:val="0"/>
              </w:numPr>
              <w:spacing w:line="240" w:lineRule="auto"/>
              <w:ind w:left="0" w:leftChars="0" w:firstLine="0" w:firstLineChars="0"/>
              <w:jc w:val="center"/>
              <w:rPr>
                <w:rFonts w:hint="default" w:ascii="楷体" w:hAnsi="楷体" w:eastAsia="楷体" w:cs="楷体"/>
                <w:b w:val="0"/>
                <w:bCs w:val="0"/>
                <w:color w:val="000000" w:themeColor="text1"/>
                <w:kern w:val="2"/>
                <w:sz w:val="24"/>
                <w:szCs w:val="24"/>
                <w:vertAlign w:val="baseline"/>
                <w:lang w:val="en-US" w:eastAsia="zh-CN" w:bidi="ar-SA"/>
                <w14:textFill>
                  <w14:solidFill>
                    <w14:schemeClr w14:val="tx1"/>
                  </w14:solidFill>
                </w14:textFill>
              </w:rPr>
            </w:pPr>
            <w:r>
              <w:rPr>
                <w:rFonts w:hint="eastAsia" w:ascii="楷体" w:hAnsi="楷体" w:eastAsia="楷体" w:cs="楷体"/>
                <w:b w:val="0"/>
                <w:bCs w:val="0"/>
                <w:color w:val="000000" w:themeColor="text1"/>
                <w:kern w:val="2"/>
                <w:sz w:val="24"/>
                <w:szCs w:val="24"/>
                <w:vertAlign w:val="baseline"/>
                <w:lang w:val="en-US" w:eastAsia="zh-CN" w:bidi="ar-SA"/>
                <w14:textFill>
                  <w14:solidFill>
                    <w14:schemeClr w14:val="tx1"/>
                  </w14:solidFill>
                </w14:textFill>
              </w:rPr>
              <w:t>16</w:t>
            </w:r>
          </w:p>
        </w:tc>
        <w:tc>
          <w:tcPr>
            <w:tcW w:w="1264" w:type="dxa"/>
            <w:vMerge w:val="continue"/>
            <w:vAlign w:val="center"/>
          </w:tcPr>
          <w:p>
            <w:pPr>
              <w:numPr>
                <w:ilvl w:val="0"/>
                <w:numId w:val="0"/>
              </w:numPr>
              <w:spacing w:line="240" w:lineRule="auto"/>
              <w:ind w:left="0" w:leftChars="0" w:firstLine="0" w:firstLineChars="0"/>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p>
        </w:tc>
        <w:tc>
          <w:tcPr>
            <w:tcW w:w="5296" w:type="dxa"/>
            <w:vAlign w:val="center"/>
          </w:tcPr>
          <w:p>
            <w:pPr>
              <w:numPr>
                <w:ilvl w:val="0"/>
                <w:numId w:val="0"/>
              </w:numPr>
              <w:spacing w:line="240" w:lineRule="auto"/>
              <w:ind w:left="0" w:leftChars="0" w:firstLine="0" w:firstLineChars="0"/>
              <w:rPr>
                <w:rFonts w:hint="eastAsia" w:ascii="楷体" w:hAnsi="楷体" w:eastAsia="楷体" w:cs="楷体"/>
                <w:b w:val="0"/>
                <w:bCs w:val="0"/>
                <w:color w:val="000000" w:themeColor="text1"/>
                <w:kern w:val="2"/>
                <w:sz w:val="24"/>
                <w:szCs w:val="24"/>
                <w:vertAlign w:val="baseline"/>
                <w:lang w:val="en-US" w:eastAsia="zh-CN" w:bidi="ar-SA"/>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混凝土构件不养护或养护时间不满足要求</w:t>
            </w:r>
          </w:p>
        </w:tc>
        <w:tc>
          <w:tcPr>
            <w:tcW w:w="1408" w:type="dxa"/>
            <w:vAlign w:val="center"/>
          </w:tcPr>
          <w:p>
            <w:pPr>
              <w:numPr>
                <w:ilvl w:val="0"/>
                <w:numId w:val="0"/>
              </w:numPr>
              <w:spacing w:line="240" w:lineRule="auto"/>
              <w:ind w:left="0" w:leftChars="0" w:firstLine="0" w:firstLineChars="0"/>
              <w:jc w:val="center"/>
              <w:rPr>
                <w:rFonts w:hint="eastAsia" w:ascii="楷体" w:hAnsi="楷体" w:eastAsia="楷体" w:cs="楷体"/>
                <w:b w:val="0"/>
                <w:bCs w:val="0"/>
                <w:color w:val="000000" w:themeColor="text1"/>
                <w:kern w:val="2"/>
                <w:sz w:val="24"/>
                <w:szCs w:val="24"/>
                <w:vertAlign w:val="baseline"/>
                <w:lang w:val="en-US" w:eastAsia="zh-CN" w:bidi="ar-SA"/>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w:t>
            </w:r>
          </w:p>
        </w:tc>
        <w:tc>
          <w:tcPr>
            <w:tcW w:w="784" w:type="dxa"/>
            <w:vAlign w:val="center"/>
          </w:tcPr>
          <w:p>
            <w:pPr>
              <w:numPr>
                <w:ilvl w:val="0"/>
                <w:numId w:val="0"/>
              </w:numPr>
              <w:spacing w:line="240" w:lineRule="auto"/>
              <w:ind w:left="0" w:leftChars="0" w:firstLine="0" w:firstLineChars="0"/>
              <w:jc w:val="center"/>
              <w:rPr>
                <w:rFonts w:hint="eastAsia" w:ascii="楷体" w:hAnsi="楷体" w:eastAsia="楷体" w:cs="楷体"/>
                <w:b w:val="0"/>
                <w:bCs w:val="0"/>
                <w:color w:val="000000" w:themeColor="text1"/>
                <w:kern w:val="2"/>
                <w:sz w:val="24"/>
                <w:szCs w:val="24"/>
                <w:vertAlign w:val="baseline"/>
                <w:lang w:val="en-US" w:eastAsia="zh-CN" w:bidi="ar-SA"/>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791" w:type="dxa"/>
            <w:vAlign w:val="center"/>
          </w:tcPr>
          <w:p>
            <w:pPr>
              <w:numPr>
                <w:ilvl w:val="0"/>
                <w:numId w:val="0"/>
              </w:numPr>
              <w:spacing w:line="24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17</w:t>
            </w:r>
          </w:p>
        </w:tc>
        <w:tc>
          <w:tcPr>
            <w:tcW w:w="1264" w:type="dxa"/>
            <w:vMerge w:val="continue"/>
            <w:vAlign w:val="center"/>
          </w:tcPr>
          <w:p>
            <w:pPr>
              <w:numPr>
                <w:ilvl w:val="0"/>
                <w:numId w:val="0"/>
              </w:numPr>
              <w:spacing w:line="240" w:lineRule="auto"/>
              <w:ind w:left="0" w:leftChars="0" w:firstLine="0" w:firstLineChars="0"/>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p>
        </w:tc>
        <w:tc>
          <w:tcPr>
            <w:tcW w:w="5296" w:type="dxa"/>
            <w:vAlign w:val="center"/>
          </w:tcPr>
          <w:p>
            <w:pPr>
              <w:numPr>
                <w:ilvl w:val="0"/>
                <w:numId w:val="0"/>
              </w:numPr>
              <w:spacing w:line="240" w:lineRule="auto"/>
              <w:ind w:left="0" w:leftChars="0" w:firstLine="0" w:firstLineChars="0"/>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混凝土标养试块及同条件试块不合格；</w:t>
            </w:r>
          </w:p>
        </w:tc>
        <w:tc>
          <w:tcPr>
            <w:tcW w:w="1408" w:type="dxa"/>
            <w:vAlign w:val="center"/>
          </w:tcPr>
          <w:p>
            <w:pPr>
              <w:numPr>
                <w:ilvl w:val="0"/>
                <w:numId w:val="0"/>
              </w:numPr>
              <w:spacing w:line="240" w:lineRule="auto"/>
              <w:ind w:left="0" w:leftChars="0" w:firstLine="0" w:firstLineChars="0"/>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w:t>
            </w:r>
          </w:p>
        </w:tc>
        <w:tc>
          <w:tcPr>
            <w:tcW w:w="784" w:type="dxa"/>
            <w:vAlign w:val="center"/>
          </w:tcPr>
          <w:p>
            <w:pPr>
              <w:numPr>
                <w:ilvl w:val="0"/>
                <w:numId w:val="0"/>
              </w:numPr>
              <w:spacing w:line="240" w:lineRule="auto"/>
              <w:ind w:left="0" w:leftChars="0" w:firstLine="0" w:firstLineChars="0"/>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791" w:type="dxa"/>
            <w:vAlign w:val="center"/>
          </w:tcPr>
          <w:p>
            <w:pPr>
              <w:numPr>
                <w:ilvl w:val="0"/>
                <w:numId w:val="0"/>
              </w:numPr>
              <w:spacing w:line="240" w:lineRule="auto"/>
              <w:ind w:left="0" w:leftChars="0" w:firstLine="0" w:firstLineChars="0"/>
              <w:jc w:val="center"/>
              <w:rPr>
                <w:rFonts w:hint="default" w:ascii="楷体" w:hAnsi="楷体" w:eastAsia="楷体" w:cs="楷体"/>
                <w:b w:val="0"/>
                <w:bCs w:val="0"/>
                <w:color w:val="000000" w:themeColor="text1"/>
                <w:kern w:val="2"/>
                <w:sz w:val="24"/>
                <w:szCs w:val="24"/>
                <w:vertAlign w:val="baseline"/>
                <w:lang w:val="en-US" w:eastAsia="zh-CN" w:bidi="ar-SA"/>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18</w:t>
            </w:r>
          </w:p>
        </w:tc>
        <w:tc>
          <w:tcPr>
            <w:tcW w:w="1264" w:type="dxa"/>
            <w:vMerge w:val="restart"/>
            <w:vAlign w:val="center"/>
          </w:tcPr>
          <w:p>
            <w:pPr>
              <w:numPr>
                <w:ilvl w:val="0"/>
                <w:numId w:val="0"/>
              </w:numPr>
              <w:spacing w:line="24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t>结构构件</w:t>
            </w:r>
          </w:p>
        </w:tc>
        <w:tc>
          <w:tcPr>
            <w:tcW w:w="5296" w:type="dxa"/>
            <w:vAlign w:val="center"/>
          </w:tcPr>
          <w:p>
            <w:pPr>
              <w:numPr>
                <w:ilvl w:val="0"/>
                <w:numId w:val="0"/>
              </w:numPr>
              <w:spacing w:line="240" w:lineRule="auto"/>
              <w:rPr>
                <w:rFonts w:hint="eastAsia" w:ascii="楷体" w:hAnsi="楷体" w:eastAsia="楷体" w:cs="楷体"/>
                <w:i w:val="0"/>
                <w:color w:val="000000" w:themeColor="text1"/>
                <w:kern w:val="0"/>
                <w:sz w:val="24"/>
                <w:szCs w:val="24"/>
                <w:u w:val="none"/>
                <w:lang w:val="en-US" w:eastAsia="zh-CN" w:bidi="ar"/>
                <w14:textFill>
                  <w14:solidFill>
                    <w14:schemeClr w14:val="tx1"/>
                  </w14:solidFill>
                </w14:textFill>
              </w:rPr>
            </w:pPr>
            <w:r>
              <w:rPr>
                <w:rFonts w:hint="eastAsia" w:ascii="楷体" w:hAnsi="楷体" w:eastAsia="楷体" w:cs="楷体"/>
                <w:b w:val="0"/>
                <w:bCs w:val="0"/>
                <w:color w:val="000000" w:themeColor="text1"/>
                <w:sz w:val="24"/>
                <w:szCs w:val="24"/>
                <w14:textFill>
                  <w14:solidFill>
                    <w14:schemeClr w14:val="tx1"/>
                  </w14:solidFill>
                </w14:textFill>
              </w:rPr>
              <w:t>单位工程钢筋砼墙、梁、板出现结构性裂缝</w:t>
            </w:r>
            <w:r>
              <w:rPr>
                <w:rFonts w:hint="eastAsia" w:ascii="楷体" w:hAnsi="楷体" w:eastAsia="楷体" w:cs="楷体"/>
                <w:b w:val="0"/>
                <w:bCs w:val="0"/>
                <w:color w:val="000000" w:themeColor="text1"/>
                <w:sz w:val="24"/>
                <w:szCs w:val="24"/>
                <w:lang w:eastAsia="zh-CN"/>
                <w14:textFill>
                  <w14:solidFill>
                    <w14:schemeClr w14:val="tx1"/>
                  </w14:solidFill>
                </w14:textFill>
              </w:rPr>
              <w:t>，</w:t>
            </w:r>
            <w:r>
              <w:rPr>
                <w:rFonts w:hint="eastAsia" w:ascii="楷体" w:hAnsi="楷体" w:eastAsia="楷体" w:cs="楷体"/>
                <w:b w:val="0"/>
                <w:bCs w:val="0"/>
                <w:color w:val="000000" w:themeColor="text1"/>
                <w:sz w:val="24"/>
                <w:szCs w:val="24"/>
                <w:lang w:val="en-US" w:eastAsia="zh-CN"/>
                <w14:textFill>
                  <w14:solidFill>
                    <w14:schemeClr w14:val="tx1"/>
                  </w14:solidFill>
                </w14:textFill>
              </w:rPr>
              <w:t>5处以上；</w:t>
            </w:r>
          </w:p>
        </w:tc>
        <w:tc>
          <w:tcPr>
            <w:tcW w:w="1408"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w:t>
            </w:r>
          </w:p>
        </w:tc>
        <w:tc>
          <w:tcPr>
            <w:tcW w:w="784"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91" w:type="dxa"/>
            <w:vAlign w:val="center"/>
          </w:tcPr>
          <w:p>
            <w:pPr>
              <w:numPr>
                <w:ilvl w:val="0"/>
                <w:numId w:val="0"/>
              </w:numPr>
              <w:spacing w:line="240" w:lineRule="auto"/>
              <w:ind w:left="0" w:leftChars="0" w:firstLine="0" w:firstLineChars="0"/>
              <w:jc w:val="center"/>
              <w:rPr>
                <w:rFonts w:hint="default" w:ascii="楷体" w:hAnsi="楷体" w:eastAsia="楷体" w:cs="楷体"/>
                <w:b w:val="0"/>
                <w:bCs w:val="0"/>
                <w:color w:val="000000" w:themeColor="text1"/>
                <w:kern w:val="2"/>
                <w:sz w:val="24"/>
                <w:szCs w:val="24"/>
                <w:vertAlign w:val="baseline"/>
                <w:lang w:val="en-US" w:eastAsia="zh-CN" w:bidi="ar-SA"/>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19</w:t>
            </w:r>
          </w:p>
        </w:tc>
        <w:tc>
          <w:tcPr>
            <w:tcW w:w="1264" w:type="dxa"/>
            <w:vMerge w:val="continue"/>
            <w:vAlign w:val="center"/>
          </w:tcPr>
          <w:p>
            <w:pPr>
              <w:numPr>
                <w:ilvl w:val="0"/>
                <w:numId w:val="0"/>
              </w:numPr>
              <w:spacing w:line="24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p>
        </w:tc>
        <w:tc>
          <w:tcPr>
            <w:tcW w:w="5296" w:type="dxa"/>
            <w:vAlign w:val="center"/>
          </w:tcPr>
          <w:p>
            <w:pPr>
              <w:keepNext w:val="0"/>
              <w:keepLines w:val="0"/>
              <w:widowControl/>
              <w:suppressLineNumbers w:val="0"/>
              <w:spacing w:line="240" w:lineRule="auto"/>
              <w:jc w:val="left"/>
              <w:textAlignment w:val="center"/>
              <w:rPr>
                <w:rFonts w:hint="eastAsia" w:ascii="楷体" w:hAnsi="楷体" w:eastAsia="楷体" w:cs="楷体"/>
                <w:b w:val="0"/>
                <w:bCs w:val="0"/>
                <w:color w:val="000000" w:themeColor="text1"/>
                <w:sz w:val="24"/>
                <w:szCs w:val="24"/>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结构顶板水平度高差超2cm以上，且2块板以上；</w:t>
            </w:r>
          </w:p>
        </w:tc>
        <w:tc>
          <w:tcPr>
            <w:tcW w:w="1408"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w:t>
            </w:r>
          </w:p>
        </w:tc>
        <w:tc>
          <w:tcPr>
            <w:tcW w:w="784"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numPr>
                <w:ilvl w:val="0"/>
                <w:numId w:val="0"/>
              </w:numPr>
              <w:spacing w:line="240" w:lineRule="auto"/>
              <w:ind w:left="0" w:leftChars="0" w:firstLine="0" w:firstLineChars="0"/>
              <w:jc w:val="center"/>
              <w:rPr>
                <w:rFonts w:hint="default" w:ascii="楷体" w:hAnsi="楷体" w:eastAsia="楷体" w:cs="楷体"/>
                <w:b w:val="0"/>
                <w:bCs w:val="0"/>
                <w:color w:val="000000" w:themeColor="text1"/>
                <w:kern w:val="2"/>
                <w:sz w:val="24"/>
                <w:szCs w:val="24"/>
                <w:vertAlign w:val="baseline"/>
                <w:lang w:val="en-US" w:eastAsia="zh-CN" w:bidi="ar-SA"/>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w:t>
            </w:r>
          </w:p>
        </w:tc>
        <w:tc>
          <w:tcPr>
            <w:tcW w:w="1264" w:type="dxa"/>
            <w:vMerge w:val="continue"/>
            <w:vAlign w:val="center"/>
          </w:tcPr>
          <w:p>
            <w:pPr>
              <w:numPr>
                <w:ilvl w:val="0"/>
                <w:numId w:val="0"/>
              </w:numPr>
              <w:spacing w:line="24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p>
        </w:tc>
        <w:tc>
          <w:tcPr>
            <w:tcW w:w="5296" w:type="dxa"/>
            <w:vAlign w:val="center"/>
          </w:tcPr>
          <w:p>
            <w:pPr>
              <w:keepNext w:val="0"/>
              <w:keepLines w:val="0"/>
              <w:widowControl/>
              <w:suppressLineNumbers w:val="0"/>
              <w:spacing w:line="240" w:lineRule="auto"/>
              <w:jc w:val="left"/>
              <w:textAlignment w:val="center"/>
              <w:rPr>
                <w:rFonts w:hint="eastAsia" w:ascii="楷体" w:hAnsi="楷体" w:eastAsia="楷体" w:cs="楷体"/>
                <w:i w:val="0"/>
                <w:color w:val="000000" w:themeColor="text1"/>
                <w:kern w:val="0"/>
                <w:sz w:val="24"/>
                <w:szCs w:val="24"/>
                <w:u w:val="none"/>
                <w:lang w:val="en-US" w:eastAsia="zh-CN" w:bidi="ar"/>
                <w14:textFill>
                  <w14:solidFill>
                    <w14:schemeClr w14:val="tx1"/>
                  </w14:solidFill>
                </w14:textFill>
              </w:rPr>
            </w:pPr>
            <w:r>
              <w:rPr>
                <w:rFonts w:hint="eastAsia" w:ascii="楷体" w:hAnsi="楷体" w:eastAsia="楷体" w:cs="楷体"/>
                <w:i w:val="0"/>
                <w:color w:val="000000" w:themeColor="text1"/>
                <w:kern w:val="0"/>
                <w:sz w:val="24"/>
                <w:szCs w:val="24"/>
                <w:u w:val="none"/>
                <w:lang w:val="en-US" w:eastAsia="zh-CN" w:bidi="ar"/>
                <w14:textFill>
                  <w14:solidFill>
                    <w14:schemeClr w14:val="tx1"/>
                  </w14:solidFill>
                </w14:textFill>
              </w:rPr>
              <w:t>现场承重结构（梁、柱、剪力墙）无设计变更随意开孔开洞且破坏钢筋（开孔、开洞直径≥8cm）；多于3处；</w:t>
            </w:r>
          </w:p>
        </w:tc>
        <w:tc>
          <w:tcPr>
            <w:tcW w:w="1408"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2000（每处500）</w:t>
            </w:r>
          </w:p>
        </w:tc>
        <w:tc>
          <w:tcPr>
            <w:tcW w:w="784"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791" w:type="dxa"/>
            <w:vAlign w:val="center"/>
          </w:tcPr>
          <w:p>
            <w:pPr>
              <w:numPr>
                <w:ilvl w:val="0"/>
                <w:numId w:val="0"/>
              </w:numPr>
              <w:spacing w:line="240" w:lineRule="auto"/>
              <w:ind w:left="0" w:leftChars="0" w:firstLine="0" w:firstLineChars="0"/>
              <w:jc w:val="center"/>
              <w:rPr>
                <w:rFonts w:hint="default" w:ascii="楷体" w:hAnsi="楷体" w:eastAsia="楷体" w:cs="楷体"/>
                <w:b w:val="0"/>
                <w:bCs w:val="0"/>
                <w:color w:val="000000" w:themeColor="text1"/>
                <w:kern w:val="2"/>
                <w:sz w:val="24"/>
                <w:szCs w:val="24"/>
                <w:vertAlign w:val="baseline"/>
                <w:lang w:val="en-US" w:eastAsia="zh-CN" w:bidi="ar-SA"/>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21</w:t>
            </w:r>
          </w:p>
        </w:tc>
        <w:tc>
          <w:tcPr>
            <w:tcW w:w="1264" w:type="dxa"/>
            <w:vMerge w:val="continue"/>
            <w:vAlign w:val="center"/>
          </w:tcPr>
          <w:p>
            <w:pPr>
              <w:numPr>
                <w:ilvl w:val="0"/>
                <w:numId w:val="0"/>
              </w:numPr>
              <w:spacing w:line="24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p>
        </w:tc>
        <w:tc>
          <w:tcPr>
            <w:tcW w:w="5296" w:type="dxa"/>
            <w:vAlign w:val="center"/>
          </w:tcPr>
          <w:p>
            <w:pPr>
              <w:keepNext w:val="0"/>
              <w:keepLines w:val="0"/>
              <w:widowControl/>
              <w:suppressLineNumbers w:val="0"/>
              <w:spacing w:line="240" w:lineRule="auto"/>
              <w:jc w:val="left"/>
              <w:textAlignment w:val="center"/>
              <w:rPr>
                <w:rFonts w:hint="eastAsia" w:ascii="楷体" w:hAnsi="楷体" w:eastAsia="楷体" w:cs="楷体"/>
                <w:i w:val="0"/>
                <w:color w:val="000000" w:themeColor="text1"/>
                <w:kern w:val="0"/>
                <w:sz w:val="24"/>
                <w:szCs w:val="24"/>
                <w:u w:val="none"/>
                <w:lang w:val="en-US" w:eastAsia="zh-CN" w:bidi="ar"/>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主体楼板厚度一个测区内出现2处以上负偏差；</w:t>
            </w:r>
          </w:p>
        </w:tc>
        <w:tc>
          <w:tcPr>
            <w:tcW w:w="1408"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2000（每处1000）</w:t>
            </w:r>
          </w:p>
        </w:tc>
        <w:tc>
          <w:tcPr>
            <w:tcW w:w="784"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numPr>
                <w:ilvl w:val="0"/>
                <w:numId w:val="0"/>
              </w:numPr>
              <w:spacing w:line="240" w:lineRule="auto"/>
              <w:ind w:left="0" w:leftChars="0" w:firstLine="0" w:firstLineChars="0"/>
              <w:jc w:val="center"/>
              <w:rPr>
                <w:rFonts w:hint="default" w:ascii="楷体" w:hAnsi="楷体" w:eastAsia="楷体" w:cs="楷体"/>
                <w:b w:val="0"/>
                <w:bCs w:val="0"/>
                <w:color w:val="000000" w:themeColor="text1"/>
                <w:kern w:val="2"/>
                <w:sz w:val="24"/>
                <w:szCs w:val="24"/>
                <w:vertAlign w:val="baseline"/>
                <w:lang w:val="en-US" w:eastAsia="zh-CN" w:bidi="ar-SA"/>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22</w:t>
            </w:r>
          </w:p>
        </w:tc>
        <w:tc>
          <w:tcPr>
            <w:tcW w:w="1264" w:type="dxa"/>
            <w:vAlign w:val="center"/>
          </w:tcPr>
          <w:p>
            <w:pPr>
              <w:numPr>
                <w:ilvl w:val="0"/>
                <w:numId w:val="0"/>
              </w:numPr>
              <w:spacing w:line="24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t>PC构件安装</w:t>
            </w:r>
          </w:p>
        </w:tc>
        <w:tc>
          <w:tcPr>
            <w:tcW w:w="5296" w:type="dxa"/>
            <w:vAlign w:val="center"/>
          </w:tcPr>
          <w:p>
            <w:pPr>
              <w:keepNext w:val="0"/>
              <w:keepLines w:val="0"/>
              <w:widowControl/>
              <w:numPr>
                <w:ilvl w:val="0"/>
                <w:numId w:val="12"/>
              </w:numPr>
              <w:suppressLineNumbers w:val="0"/>
              <w:spacing w:line="240" w:lineRule="auto"/>
              <w:jc w:val="left"/>
              <w:textAlignment w:val="center"/>
              <w:rPr>
                <w:rFonts w:hint="eastAsia"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PC构件注浆不饱满，有空腔</w:t>
            </w:r>
            <w:r>
              <w:rPr>
                <w:rFonts w:hint="eastAsia" w:ascii="楷体" w:hAnsi="楷体" w:eastAsia="楷体" w:cs="楷体"/>
                <w:color w:val="000000" w:themeColor="text1"/>
                <w:sz w:val="24"/>
                <w:szCs w:val="24"/>
                <w:lang w:val="en-US" w:eastAsia="zh-CN"/>
                <w14:textFill>
                  <w14:solidFill>
                    <w14:schemeClr w14:val="tx1"/>
                  </w14:solidFill>
                </w14:textFill>
              </w:rPr>
              <w:t>；</w:t>
            </w:r>
          </w:p>
          <w:p>
            <w:pPr>
              <w:keepNext w:val="0"/>
              <w:keepLines w:val="0"/>
              <w:widowControl/>
              <w:numPr>
                <w:ilvl w:val="0"/>
                <w:numId w:val="12"/>
              </w:numPr>
              <w:suppressLineNumbers w:val="0"/>
              <w:spacing w:line="240" w:lineRule="auto"/>
              <w:jc w:val="left"/>
              <w:textAlignment w:val="center"/>
              <w:rPr>
                <w:rFonts w:hint="eastAsia" w:ascii="楷体" w:hAnsi="楷体" w:eastAsia="楷体" w:cs="楷体"/>
                <w:color w:val="000000" w:themeColor="text1"/>
                <w:sz w:val="24"/>
                <w:szCs w:val="24"/>
                <w:lang w:val="en-US" w:eastAsia="zh-CN"/>
                <w14:textFill>
                  <w14:solidFill>
                    <w14:schemeClr w14:val="tx1"/>
                  </w14:solidFill>
                </w14:textFill>
              </w:rPr>
            </w:pPr>
            <w:r>
              <w:rPr>
                <w:rFonts w:hint="eastAsia" w:ascii="楷体" w:hAnsi="楷体" w:eastAsia="楷体" w:cs="楷体"/>
                <w:color w:val="000000" w:themeColor="text1"/>
                <w:sz w:val="24"/>
                <w:szCs w:val="24"/>
                <w:lang w:val="en-US" w:eastAsia="zh-CN"/>
                <w14:textFill>
                  <w14:solidFill>
                    <w14:schemeClr w14:val="tx1"/>
                  </w14:solidFill>
                </w14:textFill>
              </w:rPr>
              <w:t>PC墙灌浆滞后3层及以上，且支撑已拆除 ；</w:t>
            </w:r>
          </w:p>
          <w:p>
            <w:pPr>
              <w:keepNext w:val="0"/>
              <w:keepLines w:val="0"/>
              <w:widowControl/>
              <w:numPr>
                <w:ilvl w:val="0"/>
                <w:numId w:val="12"/>
              </w:numPr>
              <w:suppressLineNumbers w:val="0"/>
              <w:spacing w:line="240" w:lineRule="auto"/>
              <w:jc w:val="left"/>
              <w:textAlignment w:val="center"/>
              <w:rPr>
                <w:rFonts w:hint="eastAsia" w:ascii="楷体" w:hAnsi="楷体" w:eastAsia="楷体" w:cs="楷体"/>
                <w:color w:val="000000" w:themeColor="text1"/>
                <w:sz w:val="24"/>
                <w:szCs w:val="24"/>
                <w:lang w:val="en-US" w:eastAsia="zh-CN"/>
                <w14:textFill>
                  <w14:solidFill>
                    <w14:schemeClr w14:val="tx1"/>
                  </w14:solidFill>
                </w14:textFill>
              </w:rPr>
            </w:pPr>
            <w:r>
              <w:rPr>
                <w:rFonts w:hint="eastAsia" w:ascii="楷体" w:hAnsi="楷体" w:eastAsia="楷体" w:cs="楷体"/>
                <w:color w:val="000000" w:themeColor="text1"/>
                <w:sz w:val="24"/>
                <w:szCs w:val="24"/>
                <w:lang w:val="en-US" w:eastAsia="zh-CN"/>
                <w14:textFill>
                  <w14:solidFill>
                    <w14:schemeClr w14:val="tx1"/>
                  </w14:solidFill>
                </w14:textFill>
              </w:rPr>
              <w:t xml:space="preserve">预制叠合板叠放层数不应大于 6 层,预制柱、梁、楼梯叠放层数不应大于 4 层。底层及层间应设置支垫,支垫应平整且应上下对齐,支垫地基应坚实 </w:t>
            </w:r>
          </w:p>
          <w:p>
            <w:pPr>
              <w:keepNext w:val="0"/>
              <w:keepLines w:val="0"/>
              <w:widowControl/>
              <w:numPr>
                <w:ilvl w:val="0"/>
                <w:numId w:val="0"/>
              </w:numPr>
              <w:suppressLineNumbers w:val="0"/>
              <w:spacing w:line="240" w:lineRule="auto"/>
              <w:jc w:val="left"/>
              <w:textAlignment w:val="center"/>
              <w:rPr>
                <w:rFonts w:hint="eastAsia" w:ascii="楷体" w:hAnsi="楷体" w:eastAsia="楷体" w:cs="楷体"/>
                <w:color w:val="000000" w:themeColor="text1"/>
                <w:sz w:val="24"/>
                <w:szCs w:val="24"/>
                <w:lang w:val="en-US" w:eastAsia="zh-CN"/>
                <w14:textFill>
                  <w14:solidFill>
                    <w14:schemeClr w14:val="tx1"/>
                  </w14:solidFill>
                </w14:textFill>
              </w:rPr>
            </w:pPr>
            <w:r>
              <w:rPr>
                <w:rFonts w:hint="eastAsia" w:ascii="楷体" w:hAnsi="楷体" w:eastAsia="楷体" w:cs="楷体"/>
                <w:color w:val="000000" w:themeColor="text1"/>
                <w:sz w:val="24"/>
                <w:szCs w:val="24"/>
                <w:lang w:val="en-US" w:eastAsia="zh-CN"/>
                <w14:textFill>
                  <w14:solidFill>
                    <w14:schemeClr w14:val="tx1"/>
                  </w14:solidFill>
                </w14:textFill>
              </w:rPr>
              <w:t>合5处以上</w:t>
            </w:r>
          </w:p>
        </w:tc>
        <w:tc>
          <w:tcPr>
            <w:tcW w:w="1408"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2000（每处400）</w:t>
            </w:r>
          </w:p>
        </w:tc>
        <w:tc>
          <w:tcPr>
            <w:tcW w:w="784"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791" w:type="dxa"/>
            <w:vAlign w:val="center"/>
          </w:tcPr>
          <w:p>
            <w:pPr>
              <w:numPr>
                <w:ilvl w:val="0"/>
                <w:numId w:val="0"/>
              </w:numPr>
              <w:spacing w:line="240" w:lineRule="auto"/>
              <w:ind w:left="0" w:leftChars="0" w:firstLine="0" w:firstLineChars="0"/>
              <w:jc w:val="center"/>
              <w:rPr>
                <w:rFonts w:hint="default" w:ascii="楷体" w:hAnsi="楷体" w:eastAsia="楷体" w:cs="楷体"/>
                <w:b w:val="0"/>
                <w:bCs w:val="0"/>
                <w:color w:val="000000" w:themeColor="text1"/>
                <w:kern w:val="2"/>
                <w:sz w:val="24"/>
                <w:szCs w:val="24"/>
                <w:vertAlign w:val="baseline"/>
                <w:lang w:val="en-US" w:eastAsia="zh-CN" w:bidi="ar-SA"/>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23</w:t>
            </w:r>
          </w:p>
        </w:tc>
        <w:tc>
          <w:tcPr>
            <w:tcW w:w="1264" w:type="dxa"/>
            <w:vAlign w:val="center"/>
          </w:tcPr>
          <w:p>
            <w:pPr>
              <w:numPr>
                <w:ilvl w:val="0"/>
                <w:numId w:val="0"/>
              </w:numPr>
              <w:spacing w:line="24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t>ALC板安装</w:t>
            </w:r>
          </w:p>
        </w:tc>
        <w:tc>
          <w:tcPr>
            <w:tcW w:w="5296" w:type="dxa"/>
            <w:vAlign w:val="center"/>
          </w:tcPr>
          <w:p>
            <w:pPr>
              <w:spacing w:line="240" w:lineRule="auto"/>
              <w:rPr>
                <w:rFonts w:hint="eastAsia" w:ascii="楷体" w:hAnsi="楷体" w:eastAsia="楷体" w:cs="楷体"/>
                <w:color w:val="000000" w:themeColor="text1"/>
                <w:sz w:val="24"/>
                <w:szCs w:val="24"/>
                <w:lang w:val="en-US" w:eastAsia="zh-CN"/>
                <w14:textFill>
                  <w14:solidFill>
                    <w14:schemeClr w14:val="tx1"/>
                  </w14:solidFill>
                </w14:textFill>
              </w:rPr>
            </w:pPr>
            <w:r>
              <w:rPr>
                <w:rFonts w:hint="eastAsia" w:ascii="楷体" w:hAnsi="楷体" w:eastAsia="楷体" w:cs="楷体"/>
                <w:color w:val="000000" w:themeColor="text1"/>
                <w:sz w:val="24"/>
                <w:szCs w:val="24"/>
                <w:lang w:val="en-US" w:eastAsia="zh-CN"/>
                <w14:textFill>
                  <w14:solidFill>
                    <w14:schemeClr w14:val="tx1"/>
                  </w14:solidFill>
                </w14:textFill>
              </w:rPr>
              <w:t>1.</w:t>
            </w:r>
            <w:r>
              <w:rPr>
                <w:rFonts w:hint="eastAsia" w:ascii="楷体" w:hAnsi="楷体" w:eastAsia="楷体" w:cs="楷体"/>
                <w:color w:val="000000" w:themeColor="text1"/>
                <w:sz w:val="24"/>
                <w:szCs w:val="24"/>
                <w14:textFill>
                  <w14:solidFill>
                    <w14:schemeClr w14:val="tx1"/>
                  </w14:solidFill>
                </w14:textFill>
              </w:rPr>
              <w:t>ALC隔墙板板缝粘结砂浆不饱满，有空腔</w:t>
            </w:r>
            <w:r>
              <w:rPr>
                <w:rFonts w:hint="eastAsia" w:ascii="楷体" w:hAnsi="楷体" w:eastAsia="楷体" w:cs="楷体"/>
                <w:color w:val="000000" w:themeColor="text1"/>
                <w:sz w:val="24"/>
                <w:szCs w:val="24"/>
                <w:lang w:val="en-US" w:eastAsia="zh-CN"/>
                <w14:textFill>
                  <w14:solidFill>
                    <w14:schemeClr w14:val="tx1"/>
                  </w14:solidFill>
                </w14:textFill>
              </w:rPr>
              <w:t>；</w:t>
            </w:r>
          </w:p>
          <w:p>
            <w:pPr>
              <w:spacing w:line="240" w:lineRule="auto"/>
              <w:rPr>
                <w:rFonts w:hint="eastAsia" w:ascii="楷体" w:hAnsi="楷体" w:eastAsia="楷体" w:cs="楷体"/>
                <w:color w:val="000000" w:themeColor="text1"/>
                <w:sz w:val="24"/>
                <w:szCs w:val="24"/>
                <w:lang w:val="en-US" w:eastAsia="zh-CN"/>
                <w14:textFill>
                  <w14:solidFill>
                    <w14:schemeClr w14:val="tx1"/>
                  </w14:solidFill>
                </w14:textFill>
              </w:rPr>
            </w:pPr>
            <w:r>
              <w:rPr>
                <w:rFonts w:hint="eastAsia" w:ascii="楷体" w:hAnsi="楷体" w:eastAsia="楷体" w:cs="楷体"/>
                <w:color w:val="000000" w:themeColor="text1"/>
                <w:sz w:val="24"/>
                <w:szCs w:val="24"/>
                <w:lang w:val="en-US" w:eastAsia="zh-CN"/>
                <w14:textFill>
                  <w14:solidFill>
                    <w14:schemeClr w14:val="tx1"/>
                  </w14:solidFill>
                </w14:textFill>
              </w:rPr>
              <w:t>2.</w:t>
            </w:r>
            <w:r>
              <w:rPr>
                <w:rFonts w:hint="eastAsia" w:ascii="楷体" w:hAnsi="楷体" w:eastAsia="楷体" w:cs="楷体"/>
                <w:color w:val="000000" w:themeColor="text1"/>
                <w:sz w:val="24"/>
                <w:szCs w:val="24"/>
                <w14:textFill>
                  <w14:solidFill>
                    <w14:schemeClr w14:val="tx1"/>
                  </w14:solidFill>
                </w14:textFill>
              </w:rPr>
              <w:t>ALC板缝没有粘贴玻纤网络布批压聚合物砂浆</w:t>
            </w:r>
            <w:r>
              <w:rPr>
                <w:rFonts w:hint="eastAsia" w:ascii="楷体" w:hAnsi="楷体" w:eastAsia="楷体" w:cs="楷体"/>
                <w:color w:val="000000" w:themeColor="text1"/>
                <w:sz w:val="24"/>
                <w:szCs w:val="24"/>
                <w:lang w:val="en-US" w:eastAsia="zh-CN"/>
                <w14:textFill>
                  <w14:solidFill>
                    <w14:schemeClr w14:val="tx1"/>
                  </w14:solidFill>
                </w14:textFill>
              </w:rPr>
              <w:t>；</w:t>
            </w:r>
          </w:p>
          <w:p>
            <w:pPr>
              <w:spacing w:line="240" w:lineRule="auto"/>
              <w:rPr>
                <w:rFonts w:hint="eastAsia"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lang w:val="en-US" w:eastAsia="zh-CN"/>
                <w14:textFill>
                  <w14:solidFill>
                    <w14:schemeClr w14:val="tx1"/>
                  </w14:solidFill>
                </w14:textFill>
              </w:rPr>
              <w:t>合5处以上</w:t>
            </w:r>
          </w:p>
        </w:tc>
        <w:tc>
          <w:tcPr>
            <w:tcW w:w="1408"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2000（每处400）</w:t>
            </w:r>
          </w:p>
        </w:tc>
        <w:tc>
          <w:tcPr>
            <w:tcW w:w="784"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5" w:hRule="atLeast"/>
        </w:trPr>
        <w:tc>
          <w:tcPr>
            <w:tcW w:w="791" w:type="dxa"/>
            <w:vAlign w:val="center"/>
          </w:tcPr>
          <w:p>
            <w:pPr>
              <w:numPr>
                <w:ilvl w:val="0"/>
                <w:numId w:val="0"/>
              </w:numPr>
              <w:spacing w:line="240" w:lineRule="auto"/>
              <w:ind w:left="0" w:leftChars="0" w:firstLine="0" w:firstLineChars="0"/>
              <w:jc w:val="center"/>
              <w:rPr>
                <w:rFonts w:hint="default" w:ascii="楷体" w:hAnsi="楷体" w:eastAsia="楷体" w:cs="楷体"/>
                <w:b w:val="0"/>
                <w:bCs w:val="0"/>
                <w:color w:val="000000" w:themeColor="text1"/>
                <w:kern w:val="2"/>
                <w:sz w:val="24"/>
                <w:szCs w:val="24"/>
                <w:vertAlign w:val="baseline"/>
                <w:lang w:val="en-US" w:eastAsia="zh-CN" w:bidi="ar-SA"/>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24</w:t>
            </w:r>
          </w:p>
        </w:tc>
        <w:tc>
          <w:tcPr>
            <w:tcW w:w="1264" w:type="dxa"/>
            <w:vMerge w:val="restart"/>
            <w:vAlign w:val="center"/>
          </w:tcPr>
          <w:p>
            <w:pPr>
              <w:numPr>
                <w:ilvl w:val="0"/>
                <w:numId w:val="0"/>
              </w:numPr>
              <w:spacing w:line="24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t>渗漏</w:t>
            </w:r>
          </w:p>
        </w:tc>
        <w:tc>
          <w:tcPr>
            <w:tcW w:w="5296" w:type="dxa"/>
            <w:vAlign w:val="center"/>
          </w:tcPr>
          <w:p>
            <w:pPr>
              <w:keepNext w:val="0"/>
              <w:keepLines w:val="0"/>
              <w:widowControl/>
              <w:suppressLineNumbers w:val="0"/>
              <w:spacing w:line="240" w:lineRule="auto"/>
              <w:jc w:val="left"/>
              <w:textAlignment w:val="center"/>
              <w:rPr>
                <w:rFonts w:hint="eastAsia" w:ascii="楷体" w:hAnsi="楷体" w:eastAsia="楷体" w:cs="楷体"/>
                <w:color w:val="000000" w:themeColor="text1"/>
                <w:kern w:val="2"/>
                <w:sz w:val="24"/>
                <w:szCs w:val="24"/>
                <w:lang w:val="en-US" w:eastAsia="zh-CN" w:bidi="ar-SA"/>
                <w14:textFill>
                  <w14:solidFill>
                    <w14:schemeClr w14:val="tx1"/>
                  </w14:solidFill>
                </w14:textFill>
              </w:rPr>
            </w:pPr>
            <w:r>
              <w:rPr>
                <w:rFonts w:hint="eastAsia" w:ascii="楷体" w:hAnsi="楷体" w:eastAsia="楷体" w:cs="楷体"/>
                <w:i w:val="0"/>
                <w:color w:val="000000" w:themeColor="text1"/>
                <w:kern w:val="0"/>
                <w:sz w:val="24"/>
                <w:szCs w:val="24"/>
                <w:u w:val="none"/>
                <w:lang w:val="en-US" w:eastAsia="zh-CN" w:bidi="ar"/>
                <w14:textFill>
                  <w14:solidFill>
                    <w14:schemeClr w14:val="tx1"/>
                  </w14:solidFill>
                </w14:textFill>
              </w:rPr>
              <w:t>1.</w:t>
            </w:r>
            <w:r>
              <w:rPr>
                <w:rFonts w:hint="eastAsia" w:ascii="楷体" w:hAnsi="楷体" w:eastAsia="楷体" w:cs="楷体"/>
                <w:color w:val="000000" w:themeColor="text1"/>
                <w:sz w:val="24"/>
                <w:szCs w:val="24"/>
                <w14:textFill>
                  <w14:solidFill>
                    <w14:schemeClr w14:val="tx1"/>
                  </w14:solidFill>
                </w14:textFill>
              </w:rPr>
              <w:t>外加气块墙或砖墙砖缝不密实、二结构外墙与一结构梁板间缝隙不密实</w:t>
            </w:r>
            <w:r>
              <w:rPr>
                <w:rFonts w:hint="eastAsia" w:ascii="楷体" w:hAnsi="楷体" w:eastAsia="楷体" w:cs="楷体"/>
                <w:color w:val="000000" w:themeColor="text1"/>
                <w:sz w:val="24"/>
                <w:szCs w:val="24"/>
                <w:lang w:eastAsia="zh-CN"/>
                <w14:textFill>
                  <w14:solidFill>
                    <w14:schemeClr w14:val="tx1"/>
                  </w14:solidFill>
                </w14:textFill>
              </w:rPr>
              <w:t>，</w:t>
            </w:r>
            <w:r>
              <w:rPr>
                <w:rFonts w:hint="eastAsia" w:ascii="楷体" w:hAnsi="楷体" w:eastAsia="楷体" w:cs="楷体"/>
                <w:color w:val="000000" w:themeColor="text1"/>
                <w:sz w:val="24"/>
                <w:szCs w:val="24"/>
                <w14:textFill>
                  <w14:solidFill>
                    <w14:schemeClr w14:val="tx1"/>
                  </w14:solidFill>
                </w14:textFill>
              </w:rPr>
              <w:t>透亮</w:t>
            </w:r>
            <w:r>
              <w:rPr>
                <w:rFonts w:hint="eastAsia" w:ascii="楷体" w:hAnsi="楷体" w:eastAsia="楷体" w:cs="楷体"/>
                <w:color w:val="000000" w:themeColor="text1"/>
                <w:sz w:val="24"/>
                <w:szCs w:val="24"/>
                <w:lang w:val="en-US" w:eastAsia="zh-CN"/>
                <w14:textFill>
                  <w14:solidFill>
                    <w14:schemeClr w14:val="tx1"/>
                  </w14:solidFill>
                </w14:textFill>
              </w:rPr>
              <w:t>；</w:t>
            </w:r>
          </w:p>
          <w:p>
            <w:pPr>
              <w:keepNext w:val="0"/>
              <w:keepLines w:val="0"/>
              <w:widowControl/>
              <w:suppressLineNumbers w:val="0"/>
              <w:spacing w:line="240" w:lineRule="auto"/>
              <w:jc w:val="left"/>
              <w:textAlignment w:val="center"/>
              <w:rPr>
                <w:rFonts w:hint="eastAsia" w:ascii="楷体" w:hAnsi="楷体" w:eastAsia="楷体" w:cs="楷体"/>
                <w:i w:val="0"/>
                <w:color w:val="000000" w:themeColor="text1"/>
                <w:kern w:val="0"/>
                <w:sz w:val="24"/>
                <w:szCs w:val="24"/>
                <w:u w:val="none"/>
                <w:lang w:val="en-US" w:eastAsia="zh-CN" w:bidi="ar"/>
                <w14:textFill>
                  <w14:solidFill>
                    <w14:schemeClr w14:val="tx1"/>
                  </w14:solidFill>
                </w14:textFill>
              </w:rPr>
            </w:pPr>
            <w:r>
              <w:rPr>
                <w:rFonts w:hint="eastAsia" w:ascii="楷体" w:hAnsi="楷体" w:eastAsia="楷体" w:cs="楷体"/>
                <w:i w:val="0"/>
                <w:color w:val="000000" w:themeColor="text1"/>
                <w:kern w:val="0"/>
                <w:sz w:val="24"/>
                <w:szCs w:val="24"/>
                <w:u w:val="none"/>
                <w:lang w:val="en-US" w:eastAsia="zh-CN" w:bidi="ar"/>
                <w14:textFill>
                  <w14:solidFill>
                    <w14:schemeClr w14:val="tx1"/>
                  </w14:solidFill>
                </w14:textFill>
              </w:rPr>
              <w:t>2.卫生间降板吊模采用水泥块或木块及其它不防水材料支垫；</w:t>
            </w:r>
          </w:p>
          <w:p>
            <w:pPr>
              <w:keepNext w:val="0"/>
              <w:keepLines w:val="0"/>
              <w:widowControl/>
              <w:suppressLineNumbers w:val="0"/>
              <w:spacing w:line="240" w:lineRule="auto"/>
              <w:jc w:val="left"/>
              <w:textAlignment w:val="center"/>
              <w:rPr>
                <w:rFonts w:hint="eastAsia" w:ascii="楷体" w:hAnsi="楷体" w:eastAsia="楷体" w:cs="楷体"/>
                <w:color w:val="000000" w:themeColor="text1"/>
                <w:sz w:val="24"/>
                <w:szCs w:val="24"/>
                <w:lang w:val="en-US" w:eastAsia="zh-CN"/>
                <w14:textFill>
                  <w14:solidFill>
                    <w14:schemeClr w14:val="tx1"/>
                  </w14:solidFill>
                </w14:textFill>
              </w:rPr>
            </w:pPr>
            <w:r>
              <w:rPr>
                <w:rFonts w:hint="eastAsia" w:ascii="楷体" w:hAnsi="楷体" w:eastAsia="楷体" w:cs="楷体"/>
                <w:color w:val="000000" w:themeColor="text1"/>
                <w:sz w:val="24"/>
                <w:szCs w:val="24"/>
                <w:lang w:val="en-US" w:eastAsia="zh-CN"/>
                <w14:textFill>
                  <w14:solidFill>
                    <w14:schemeClr w14:val="tx1"/>
                  </w14:solidFill>
                </w14:textFill>
              </w:rPr>
              <w:t>3.</w:t>
            </w:r>
            <w:r>
              <w:rPr>
                <w:rFonts w:hint="eastAsia" w:ascii="楷体" w:hAnsi="楷体" w:eastAsia="楷体" w:cs="楷体"/>
                <w:color w:val="000000" w:themeColor="text1"/>
                <w:sz w:val="24"/>
                <w:szCs w:val="24"/>
                <w14:textFill>
                  <w14:solidFill>
                    <w14:schemeClr w14:val="tx1"/>
                  </w14:solidFill>
                </w14:textFill>
              </w:rPr>
              <w:t>卫生间、露台、屋面女儿墙或侧墙、平台、宽度大于150线条根部、空调搁板根部、烟风道出屋面或楼板处、地下室隔墙毗邻可能有水的空间</w:t>
            </w:r>
            <w:r>
              <w:rPr>
                <w:rFonts w:hint="eastAsia" w:ascii="楷体" w:hAnsi="楷体" w:eastAsia="楷体" w:cs="楷体"/>
                <w:color w:val="000000" w:themeColor="text1"/>
                <w:sz w:val="24"/>
                <w:szCs w:val="24"/>
                <w:lang w:eastAsia="zh-CN"/>
                <w14:textFill>
                  <w14:solidFill>
                    <w14:schemeClr w14:val="tx1"/>
                  </w14:solidFill>
                </w14:textFill>
              </w:rPr>
              <w:t>，</w:t>
            </w:r>
            <w:r>
              <w:rPr>
                <w:rFonts w:hint="eastAsia" w:ascii="楷体" w:hAnsi="楷体" w:eastAsia="楷体" w:cs="楷体"/>
                <w:color w:val="000000" w:themeColor="text1"/>
                <w:sz w:val="24"/>
                <w:szCs w:val="24"/>
                <w:lang w:val="en-US" w:eastAsia="zh-CN"/>
                <w14:textFill>
                  <w14:solidFill>
                    <w14:schemeClr w14:val="tx1"/>
                  </w14:solidFill>
                </w14:textFill>
              </w:rPr>
              <w:t xml:space="preserve"> </w:t>
            </w:r>
            <w:r>
              <w:rPr>
                <w:rFonts w:hint="eastAsia" w:ascii="楷体" w:hAnsi="楷体" w:eastAsia="楷体" w:cs="楷体"/>
                <w:color w:val="000000" w:themeColor="text1"/>
                <w:sz w:val="24"/>
                <w:szCs w:val="24"/>
                <w14:textFill>
                  <w14:solidFill>
                    <w14:schemeClr w14:val="tx1"/>
                  </w14:solidFill>
                </w14:textFill>
              </w:rPr>
              <w:t>无反坎导墙</w:t>
            </w:r>
            <w:r>
              <w:rPr>
                <w:rFonts w:hint="eastAsia" w:ascii="楷体" w:hAnsi="楷体" w:eastAsia="楷体" w:cs="楷体"/>
                <w:color w:val="000000" w:themeColor="text1"/>
                <w:sz w:val="24"/>
                <w:szCs w:val="24"/>
                <w:lang w:val="en-US" w:eastAsia="zh-CN"/>
                <w14:textFill>
                  <w14:solidFill>
                    <w14:schemeClr w14:val="tx1"/>
                  </w14:solidFill>
                </w14:textFill>
              </w:rPr>
              <w:t>；</w:t>
            </w:r>
          </w:p>
          <w:p>
            <w:pPr>
              <w:keepNext w:val="0"/>
              <w:keepLines w:val="0"/>
              <w:widowControl/>
              <w:suppressLineNumbers w:val="0"/>
              <w:spacing w:line="240" w:lineRule="auto"/>
              <w:jc w:val="left"/>
              <w:textAlignment w:val="center"/>
              <w:rPr>
                <w:rFonts w:hint="eastAsia" w:ascii="楷体" w:hAnsi="楷体" w:eastAsia="楷体" w:cs="楷体"/>
                <w:color w:val="000000" w:themeColor="text1"/>
                <w:sz w:val="24"/>
                <w:szCs w:val="24"/>
                <w:lang w:val="en-US" w:eastAsia="zh-CN"/>
                <w14:textFill>
                  <w14:solidFill>
                    <w14:schemeClr w14:val="tx1"/>
                  </w14:solidFill>
                </w14:textFill>
              </w:rPr>
            </w:pPr>
            <w:r>
              <w:rPr>
                <w:rFonts w:hint="eastAsia" w:ascii="楷体" w:hAnsi="楷体" w:eastAsia="楷体" w:cs="楷体"/>
                <w:color w:val="000000" w:themeColor="text1"/>
                <w:sz w:val="24"/>
                <w:szCs w:val="24"/>
                <w:lang w:val="en-US" w:eastAsia="zh-CN"/>
                <w14:textFill>
                  <w14:solidFill>
                    <w14:schemeClr w14:val="tx1"/>
                  </w14:solidFill>
                </w14:textFill>
              </w:rPr>
              <w:t>4.反坎导墙</w:t>
            </w: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高度不够，</w:t>
            </w:r>
            <w:r>
              <w:rPr>
                <w:rFonts w:hint="eastAsia" w:ascii="楷体" w:hAnsi="楷体" w:eastAsia="楷体" w:cs="楷体"/>
                <w:color w:val="000000" w:themeColor="text1"/>
                <w:sz w:val="24"/>
                <w:szCs w:val="24"/>
                <w:lang w:val="en-US" w:eastAsia="zh-CN"/>
                <w14:textFill>
                  <w14:solidFill>
                    <w14:schemeClr w14:val="tx1"/>
                  </w14:solidFill>
                </w14:textFill>
              </w:rPr>
              <w:t>开裂、成型质量差，与结构接触面未凿毛；</w:t>
            </w:r>
          </w:p>
          <w:p>
            <w:pPr>
              <w:keepNext w:val="0"/>
              <w:keepLines w:val="0"/>
              <w:widowControl/>
              <w:suppressLineNumbers w:val="0"/>
              <w:spacing w:line="240" w:lineRule="auto"/>
              <w:jc w:val="left"/>
              <w:textAlignment w:val="cente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pPr>
            <w:r>
              <w:rPr>
                <w:rFonts w:hint="eastAsia" w:ascii="楷体" w:hAnsi="楷体" w:eastAsia="楷体" w:cs="楷体"/>
                <w:b w:val="0"/>
                <w:bCs w:val="0"/>
                <w:i w:val="0"/>
                <w:color w:val="000000" w:themeColor="text1"/>
                <w:kern w:val="0"/>
                <w:sz w:val="24"/>
                <w:szCs w:val="24"/>
                <w:u w:val="none"/>
                <w:lang w:val="en-US" w:eastAsia="zh-CN" w:bidi="ar"/>
                <w14:textFill>
                  <w14:solidFill>
                    <w14:schemeClr w14:val="tx1"/>
                  </w14:solidFill>
                </w14:textFill>
              </w:rPr>
              <w:t>5.沉箱式卫生间，箱底未设侧排地漏；</w:t>
            </w:r>
          </w:p>
          <w:p>
            <w:pPr>
              <w:keepNext w:val="0"/>
              <w:keepLines w:val="0"/>
              <w:widowControl/>
              <w:suppressLineNumbers w:val="0"/>
              <w:spacing w:line="240" w:lineRule="auto"/>
              <w:jc w:val="left"/>
              <w:textAlignment w:val="center"/>
              <w:rPr>
                <w:rFonts w:hint="eastAsia" w:ascii="楷体" w:hAnsi="楷体" w:eastAsia="楷体" w:cs="楷体"/>
                <w:i w:val="0"/>
                <w:color w:val="000000" w:themeColor="text1"/>
                <w:kern w:val="0"/>
                <w:sz w:val="24"/>
                <w:szCs w:val="24"/>
                <w:u w:val="none"/>
                <w:lang w:val="en-US" w:eastAsia="zh-CN" w:bidi="ar"/>
                <w14:textFill>
                  <w14:solidFill>
                    <w14:schemeClr w14:val="tx1"/>
                  </w14:solidFill>
                </w14:textFill>
              </w:rPr>
            </w:pPr>
            <w:r>
              <w:rPr>
                <w:rFonts w:hint="eastAsia" w:ascii="楷体" w:hAnsi="楷体" w:eastAsia="楷体" w:cs="楷体"/>
                <w:i w:val="0"/>
                <w:color w:val="000000" w:themeColor="text1"/>
                <w:kern w:val="0"/>
                <w:sz w:val="24"/>
                <w:szCs w:val="24"/>
                <w:u w:val="none"/>
                <w:lang w:val="en-US" w:eastAsia="zh-CN" w:bidi="ar"/>
                <w14:textFill>
                  <w14:solidFill>
                    <w14:schemeClr w14:val="tx1"/>
                  </w14:solidFill>
                </w14:textFill>
              </w:rPr>
              <w:t>6.桩头部位未作防水处理；</w:t>
            </w:r>
          </w:p>
          <w:p>
            <w:pPr>
              <w:keepNext w:val="0"/>
              <w:keepLines w:val="0"/>
              <w:widowControl/>
              <w:suppressLineNumbers w:val="0"/>
              <w:spacing w:line="240" w:lineRule="auto"/>
              <w:jc w:val="left"/>
              <w:textAlignment w:val="center"/>
              <w:rPr>
                <w:rFonts w:hint="eastAsia" w:ascii="楷体" w:hAnsi="楷体" w:eastAsia="楷体" w:cs="楷体"/>
                <w:i w:val="0"/>
                <w:color w:val="000000" w:themeColor="text1"/>
                <w:kern w:val="0"/>
                <w:sz w:val="24"/>
                <w:szCs w:val="24"/>
                <w:u w:val="none"/>
                <w:lang w:val="en-US" w:eastAsia="zh-CN" w:bidi="ar"/>
                <w14:textFill>
                  <w14:solidFill>
                    <w14:schemeClr w14:val="tx1"/>
                  </w14:solidFill>
                </w14:textFill>
              </w:rPr>
            </w:pPr>
            <w:r>
              <w:rPr>
                <w:rFonts w:hint="eastAsia" w:ascii="楷体" w:hAnsi="楷体" w:eastAsia="楷体" w:cs="楷体"/>
                <w:i w:val="0"/>
                <w:color w:val="000000" w:themeColor="text1"/>
                <w:kern w:val="0"/>
                <w:sz w:val="24"/>
                <w:szCs w:val="24"/>
                <w:u w:val="none"/>
                <w:lang w:val="en-US" w:eastAsia="zh-CN" w:bidi="ar"/>
                <w14:textFill>
                  <w14:solidFill>
                    <w14:schemeClr w14:val="tx1"/>
                  </w14:solidFill>
                </w14:textFill>
              </w:rPr>
              <w:t>合5处以上</w:t>
            </w:r>
          </w:p>
        </w:tc>
        <w:tc>
          <w:tcPr>
            <w:tcW w:w="1408"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2000（每处400）</w:t>
            </w:r>
          </w:p>
        </w:tc>
        <w:tc>
          <w:tcPr>
            <w:tcW w:w="784"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791" w:type="dxa"/>
            <w:vAlign w:val="center"/>
          </w:tcPr>
          <w:p>
            <w:pPr>
              <w:numPr>
                <w:ilvl w:val="0"/>
                <w:numId w:val="0"/>
              </w:numPr>
              <w:spacing w:line="360" w:lineRule="auto"/>
              <w:ind w:left="0" w:leftChars="0" w:firstLine="0" w:firstLineChars="0"/>
              <w:jc w:val="center"/>
              <w:rPr>
                <w:rFonts w:hint="default" w:ascii="楷体" w:hAnsi="楷体" w:eastAsia="楷体" w:cs="楷体"/>
                <w:b w:val="0"/>
                <w:bCs w:val="0"/>
                <w:color w:val="000000" w:themeColor="text1"/>
                <w:kern w:val="2"/>
                <w:sz w:val="24"/>
                <w:szCs w:val="24"/>
                <w:vertAlign w:val="baseline"/>
                <w:lang w:val="en-US" w:eastAsia="zh-CN" w:bidi="ar-SA"/>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25</w:t>
            </w:r>
          </w:p>
        </w:tc>
        <w:tc>
          <w:tcPr>
            <w:tcW w:w="1264" w:type="dxa"/>
            <w:vMerge w:val="continue"/>
            <w:vAlign w:val="center"/>
          </w:tcPr>
          <w:p>
            <w:pPr>
              <w:numPr>
                <w:ilvl w:val="0"/>
                <w:numId w:val="0"/>
              </w:numPr>
              <w:spacing w:line="240" w:lineRule="auto"/>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p>
        </w:tc>
        <w:tc>
          <w:tcPr>
            <w:tcW w:w="5296" w:type="dxa"/>
            <w:vAlign w:val="center"/>
          </w:tcPr>
          <w:p>
            <w:pPr>
              <w:spacing w:line="240" w:lineRule="auto"/>
              <w:rPr>
                <w:rFonts w:hint="eastAsia"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lang w:val="en-US" w:eastAsia="zh-CN"/>
                <w14:textFill>
                  <w14:solidFill>
                    <w14:schemeClr w14:val="tx1"/>
                  </w14:solidFill>
                </w14:textFill>
              </w:rPr>
              <w:t>1.</w:t>
            </w:r>
            <w:r>
              <w:rPr>
                <w:rFonts w:hint="eastAsia" w:ascii="楷体" w:hAnsi="楷体" w:eastAsia="楷体" w:cs="楷体"/>
                <w:color w:val="000000" w:themeColor="text1"/>
                <w:sz w:val="24"/>
                <w:szCs w:val="24"/>
                <w14:textFill>
                  <w14:solidFill>
                    <w14:schemeClr w14:val="tx1"/>
                  </w14:solidFill>
                </w14:textFill>
              </w:rPr>
              <w:t>防水材料不合格或未经检验合格就使用。</w:t>
            </w:r>
          </w:p>
          <w:p>
            <w:pPr>
              <w:spacing w:line="240" w:lineRule="auto"/>
              <w:rPr>
                <w:rFonts w:hint="eastAsia" w:ascii="楷体" w:hAnsi="楷体" w:eastAsia="楷体" w:cs="楷体"/>
                <w:color w:val="000000" w:themeColor="text1"/>
                <w:sz w:val="24"/>
                <w:szCs w:val="24"/>
                <w:lang w:val="en-US" w:eastAsia="zh-CN"/>
                <w14:textFill>
                  <w14:solidFill>
                    <w14:schemeClr w14:val="tx1"/>
                  </w14:solidFill>
                </w14:textFill>
              </w:rPr>
            </w:pPr>
            <w:r>
              <w:rPr>
                <w:rFonts w:hint="eastAsia" w:ascii="楷体" w:hAnsi="楷体" w:eastAsia="楷体" w:cs="楷体"/>
                <w:color w:val="000000" w:themeColor="text1"/>
                <w:sz w:val="24"/>
                <w:szCs w:val="24"/>
                <w:lang w:val="en-US" w:eastAsia="zh-CN"/>
                <w14:textFill>
                  <w14:solidFill>
                    <w14:schemeClr w14:val="tx1"/>
                  </w14:solidFill>
                </w14:textFill>
              </w:rPr>
              <w:t>2.</w:t>
            </w:r>
            <w:r>
              <w:rPr>
                <w:rFonts w:hint="eastAsia" w:ascii="楷体" w:hAnsi="楷体" w:eastAsia="楷体" w:cs="楷体"/>
                <w:color w:val="000000" w:themeColor="text1"/>
                <w:sz w:val="24"/>
                <w:szCs w:val="24"/>
                <w14:textFill>
                  <w14:solidFill>
                    <w14:schemeClr w14:val="tx1"/>
                  </w14:solidFill>
                </w14:textFill>
              </w:rPr>
              <w:t>外墙没有做淋水试验、屋面、卫生间及阳台等有防水房间没有闭水试验</w:t>
            </w:r>
            <w:r>
              <w:rPr>
                <w:rFonts w:hint="eastAsia" w:ascii="楷体" w:hAnsi="楷体" w:eastAsia="楷体" w:cs="楷体"/>
                <w:color w:val="000000" w:themeColor="text1"/>
                <w:sz w:val="24"/>
                <w:szCs w:val="24"/>
                <w:lang w:val="en-US" w:eastAsia="zh-CN"/>
                <w14:textFill>
                  <w14:solidFill>
                    <w14:schemeClr w14:val="tx1"/>
                  </w14:solidFill>
                </w14:textFill>
              </w:rPr>
              <w:t>；</w:t>
            </w:r>
          </w:p>
          <w:p>
            <w:pPr>
              <w:spacing w:line="240" w:lineRule="auto"/>
              <w:rPr>
                <w:rFonts w:hint="eastAsia" w:ascii="楷体" w:hAnsi="楷体" w:eastAsia="楷体" w:cs="楷体"/>
                <w:color w:val="000000" w:themeColor="text1"/>
                <w:sz w:val="24"/>
                <w:szCs w:val="24"/>
                <w:lang w:val="en-US" w:eastAsia="zh-CN"/>
                <w14:textFill>
                  <w14:solidFill>
                    <w14:schemeClr w14:val="tx1"/>
                  </w14:solidFill>
                </w14:textFill>
              </w:rPr>
            </w:pPr>
            <w:r>
              <w:rPr>
                <w:rFonts w:hint="eastAsia" w:ascii="楷体" w:hAnsi="楷体" w:eastAsia="楷体" w:cs="楷体"/>
                <w:color w:val="000000" w:themeColor="text1"/>
                <w:sz w:val="24"/>
                <w:szCs w:val="24"/>
                <w:lang w:val="en-US" w:eastAsia="zh-CN"/>
                <w14:textFill>
                  <w14:solidFill>
                    <w14:schemeClr w14:val="tx1"/>
                  </w14:solidFill>
                </w14:textFill>
              </w:rPr>
              <w:t>合2条以上</w:t>
            </w:r>
          </w:p>
        </w:tc>
        <w:tc>
          <w:tcPr>
            <w:tcW w:w="1408"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p>
          <w:p>
            <w:pPr>
              <w:numPr>
                <w:ilvl w:val="0"/>
                <w:numId w:val="0"/>
              </w:numPr>
              <w:spacing w:line="240" w:lineRule="auto"/>
              <w:ind w:left="0" w:leftChars="0" w:firstLine="0" w:firstLineChars="0"/>
              <w:jc w:val="center"/>
              <w:rPr>
                <w:rFonts w:hint="eastAsia" w:ascii="楷体" w:hAnsi="楷体" w:eastAsia="楷体" w:cs="楷体"/>
                <w:b w:val="0"/>
                <w:bCs w:val="0"/>
                <w:color w:val="000000" w:themeColor="text1"/>
                <w:kern w:val="2"/>
                <w:sz w:val="24"/>
                <w:szCs w:val="24"/>
                <w:vertAlign w:val="baseline"/>
                <w:lang w:val="en-US" w:eastAsia="zh-CN" w:bidi="ar-SA"/>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2000（每条1000）</w:t>
            </w:r>
          </w:p>
        </w:tc>
        <w:tc>
          <w:tcPr>
            <w:tcW w:w="784"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791" w:type="dxa"/>
            <w:vAlign w:val="center"/>
          </w:tcPr>
          <w:p>
            <w:pPr>
              <w:numPr>
                <w:ilvl w:val="0"/>
                <w:numId w:val="0"/>
              </w:numPr>
              <w:spacing w:line="360" w:lineRule="auto"/>
              <w:ind w:left="0" w:leftChars="0" w:firstLine="0" w:firstLineChars="0"/>
              <w:jc w:val="center"/>
              <w:rPr>
                <w:rFonts w:hint="default" w:ascii="楷体" w:hAnsi="楷体" w:eastAsia="楷体" w:cs="楷体"/>
                <w:b w:val="0"/>
                <w:bCs w:val="0"/>
                <w:color w:val="auto"/>
                <w:kern w:val="2"/>
                <w:sz w:val="24"/>
                <w:szCs w:val="24"/>
                <w:vertAlign w:val="baseline"/>
                <w:lang w:val="en-US" w:eastAsia="zh-CN" w:bidi="ar-SA"/>
              </w:rPr>
            </w:pPr>
            <w:r>
              <w:rPr>
                <w:rFonts w:hint="eastAsia" w:ascii="楷体" w:hAnsi="楷体" w:eastAsia="楷体" w:cs="楷体"/>
                <w:b w:val="0"/>
                <w:bCs w:val="0"/>
                <w:color w:val="auto"/>
                <w:sz w:val="24"/>
                <w:szCs w:val="24"/>
                <w:vertAlign w:val="baseline"/>
                <w:lang w:val="en-US" w:eastAsia="zh-CN"/>
              </w:rPr>
              <w:t>26</w:t>
            </w:r>
          </w:p>
        </w:tc>
        <w:tc>
          <w:tcPr>
            <w:tcW w:w="1264" w:type="dxa"/>
            <w:vMerge w:val="continue"/>
          </w:tcPr>
          <w:p>
            <w:pPr>
              <w:numPr>
                <w:ilvl w:val="0"/>
                <w:numId w:val="0"/>
              </w:numPr>
              <w:spacing w:line="360" w:lineRule="auto"/>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p>
        </w:tc>
        <w:tc>
          <w:tcPr>
            <w:tcW w:w="5296" w:type="dxa"/>
          </w:tcPr>
          <w:p>
            <w:pPr>
              <w:keepNext w:val="0"/>
              <w:keepLines w:val="0"/>
              <w:widowControl/>
              <w:numPr>
                <w:ilvl w:val="0"/>
                <w:numId w:val="13"/>
              </w:numPr>
              <w:suppressLineNumbers w:val="0"/>
              <w:jc w:val="left"/>
              <w:textAlignment w:val="center"/>
              <w:rPr>
                <w:rFonts w:hint="eastAsia" w:ascii="楷体" w:hAnsi="楷体" w:eastAsia="楷体" w:cs="楷体"/>
                <w:color w:val="000000" w:themeColor="text1"/>
                <w:sz w:val="24"/>
                <w:szCs w:val="24"/>
                <w:lang w:val="en-US" w:eastAsia="zh-CN"/>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屋面、卫生间及其它有防水房间防水施工完成后有渗水，外墙包括窗四周有渗水。</w:t>
            </w:r>
          </w:p>
          <w:p>
            <w:pPr>
              <w:keepNext w:val="0"/>
              <w:keepLines w:val="0"/>
              <w:widowControl/>
              <w:numPr>
                <w:ilvl w:val="0"/>
                <w:numId w:val="0"/>
              </w:numPr>
              <w:suppressLineNumbers w:val="0"/>
              <w:jc w:val="left"/>
              <w:textAlignment w:val="center"/>
              <w:rPr>
                <w:rFonts w:hint="eastAsia" w:ascii="楷体" w:hAnsi="楷体" w:eastAsia="楷体" w:cs="楷体"/>
                <w:color w:val="000000" w:themeColor="text1"/>
                <w:sz w:val="24"/>
                <w:szCs w:val="24"/>
                <w:lang w:val="en-US" w:eastAsia="zh-CN"/>
                <w14:textFill>
                  <w14:solidFill>
                    <w14:schemeClr w14:val="tx1"/>
                  </w14:solidFill>
                </w14:textFill>
              </w:rPr>
            </w:pPr>
            <w:r>
              <w:rPr>
                <w:rFonts w:hint="eastAsia" w:ascii="楷体" w:hAnsi="楷体" w:eastAsia="楷体" w:cs="楷体"/>
                <w:color w:val="000000" w:themeColor="text1"/>
                <w:sz w:val="24"/>
                <w:szCs w:val="24"/>
                <w:lang w:val="en-US" w:eastAsia="zh-CN"/>
                <w14:textFill>
                  <w14:solidFill>
                    <w14:schemeClr w14:val="tx1"/>
                  </w14:solidFill>
                </w14:textFill>
              </w:rPr>
              <w:t>合计5处及以上</w:t>
            </w:r>
          </w:p>
        </w:tc>
        <w:tc>
          <w:tcPr>
            <w:tcW w:w="1408" w:type="dxa"/>
            <w:vAlign w:val="top"/>
          </w:tcPr>
          <w:p>
            <w:pPr>
              <w:numPr>
                <w:ilvl w:val="0"/>
                <w:numId w:val="0"/>
              </w:numPr>
              <w:spacing w:line="360" w:lineRule="auto"/>
              <w:ind w:left="0" w:leftChars="0" w:firstLine="0" w:firstLineChars="0"/>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2000（每处400）</w:t>
            </w:r>
          </w:p>
        </w:tc>
        <w:tc>
          <w:tcPr>
            <w:tcW w:w="784" w:type="dxa"/>
            <w:vAlign w:val="center"/>
          </w:tcPr>
          <w:p>
            <w:pPr>
              <w:numPr>
                <w:ilvl w:val="0"/>
                <w:numId w:val="0"/>
              </w:numPr>
              <w:spacing w:line="360" w:lineRule="auto"/>
              <w:ind w:left="0" w:leftChars="0" w:firstLine="0" w:firstLineChars="0"/>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791" w:type="dxa"/>
            <w:vAlign w:val="center"/>
          </w:tcPr>
          <w:p>
            <w:pPr>
              <w:numPr>
                <w:ilvl w:val="0"/>
                <w:numId w:val="0"/>
              </w:numPr>
              <w:spacing w:line="360" w:lineRule="auto"/>
              <w:jc w:val="center"/>
              <w:rPr>
                <w:rFonts w:hint="default" w:ascii="楷体" w:hAnsi="楷体" w:eastAsia="楷体" w:cs="楷体"/>
                <w:b w:val="0"/>
                <w:bCs w:val="0"/>
                <w:color w:val="auto"/>
                <w:sz w:val="24"/>
                <w:szCs w:val="24"/>
                <w:vertAlign w:val="baseline"/>
                <w:lang w:val="en-US" w:eastAsia="zh-CN"/>
              </w:rPr>
            </w:pPr>
            <w:r>
              <w:rPr>
                <w:rFonts w:hint="eastAsia" w:ascii="楷体" w:hAnsi="楷体" w:eastAsia="楷体" w:cs="楷体"/>
                <w:b w:val="0"/>
                <w:bCs w:val="0"/>
                <w:color w:val="auto"/>
                <w:sz w:val="24"/>
                <w:szCs w:val="24"/>
                <w:vertAlign w:val="baseline"/>
                <w:lang w:val="en-US" w:eastAsia="zh-CN"/>
              </w:rPr>
              <w:t>27</w:t>
            </w:r>
          </w:p>
        </w:tc>
        <w:tc>
          <w:tcPr>
            <w:tcW w:w="1264" w:type="dxa"/>
            <w:vMerge w:val="continue"/>
            <w:vAlign w:val="center"/>
          </w:tcPr>
          <w:p>
            <w:pPr>
              <w:numPr>
                <w:ilvl w:val="0"/>
                <w:numId w:val="0"/>
              </w:numPr>
              <w:spacing w:line="360" w:lineRule="auto"/>
              <w:rPr>
                <w:rFonts w:hint="eastAsia" w:ascii="楷体" w:hAnsi="楷体" w:eastAsia="楷体" w:cs="楷体"/>
                <w:b w:val="0"/>
                <w:bCs w:val="0"/>
                <w:color w:val="auto"/>
                <w:sz w:val="24"/>
                <w:szCs w:val="24"/>
                <w:vertAlign w:val="baseline"/>
                <w:lang w:val="en-US" w:eastAsia="zh-CN"/>
              </w:rPr>
            </w:pPr>
          </w:p>
        </w:tc>
        <w:tc>
          <w:tcPr>
            <w:tcW w:w="5296" w:type="dxa"/>
            <w:vAlign w:val="center"/>
          </w:tcPr>
          <w:p>
            <w:pPr>
              <w:keepNext w:val="0"/>
              <w:keepLines w:val="0"/>
              <w:widowControl/>
              <w:suppressLineNumbers w:val="0"/>
              <w:jc w:val="left"/>
              <w:textAlignment w:val="center"/>
              <w:rPr>
                <w:rFonts w:hint="eastAsia" w:ascii="楷体" w:hAnsi="楷体" w:eastAsia="楷体" w:cs="楷体"/>
                <w:color w:val="auto"/>
                <w:sz w:val="24"/>
                <w:szCs w:val="24"/>
                <w:lang w:val="en-US" w:eastAsia="zh-CN"/>
              </w:rPr>
            </w:pPr>
            <w:r>
              <w:rPr>
                <w:rFonts w:hint="eastAsia" w:ascii="楷体" w:hAnsi="楷体" w:eastAsia="楷体" w:cs="楷体"/>
                <w:i w:val="0"/>
                <w:color w:val="000000" w:themeColor="text1"/>
                <w:kern w:val="0"/>
                <w:sz w:val="24"/>
                <w:szCs w:val="24"/>
                <w:u w:val="none"/>
                <w:lang w:val="en-US" w:eastAsia="zh-CN" w:bidi="ar"/>
                <w14:textFill>
                  <w14:solidFill>
                    <w14:schemeClr w14:val="tx1"/>
                  </w14:solidFill>
                </w14:textFill>
              </w:rPr>
              <w:t>外墙孔洞（工字钢、拉结点、螺杆孔洞）封堵不到位3处及以上；</w:t>
            </w:r>
          </w:p>
        </w:tc>
        <w:tc>
          <w:tcPr>
            <w:tcW w:w="1408" w:type="dxa"/>
            <w:vAlign w:val="center"/>
          </w:tcPr>
          <w:p>
            <w:pPr>
              <w:numPr>
                <w:ilvl w:val="0"/>
                <w:numId w:val="0"/>
              </w:numPr>
              <w:spacing w:line="360" w:lineRule="auto"/>
              <w:ind w:left="0" w:leftChars="0" w:firstLine="0" w:firstLineChars="0"/>
              <w:jc w:val="center"/>
              <w:rPr>
                <w:rFonts w:hint="eastAsia" w:ascii="楷体" w:hAnsi="楷体" w:eastAsia="楷体" w:cs="楷体"/>
                <w:b w:val="0"/>
                <w:bCs w:val="0"/>
                <w:color w:val="auto"/>
                <w:sz w:val="24"/>
                <w:szCs w:val="24"/>
                <w:vertAlign w:val="baseline"/>
                <w:lang w:val="en-US" w:eastAsia="zh-CN"/>
              </w:rPr>
            </w:pPr>
            <w:r>
              <w:rPr>
                <w:rFonts w:hint="eastAsia" w:ascii="楷体" w:hAnsi="楷体" w:eastAsia="楷体" w:cs="楷体"/>
                <w:b w:val="0"/>
                <w:bCs w:val="0"/>
                <w:color w:val="auto"/>
                <w:sz w:val="24"/>
                <w:szCs w:val="24"/>
                <w:vertAlign w:val="baseline"/>
                <w:lang w:val="en-US" w:eastAsia="zh-CN"/>
              </w:rPr>
              <w:t>2000（每处500）</w:t>
            </w:r>
          </w:p>
        </w:tc>
        <w:tc>
          <w:tcPr>
            <w:tcW w:w="784" w:type="dxa"/>
            <w:vAlign w:val="center"/>
          </w:tcPr>
          <w:p>
            <w:pPr>
              <w:numPr>
                <w:ilvl w:val="0"/>
                <w:numId w:val="0"/>
              </w:numPr>
              <w:spacing w:line="360" w:lineRule="auto"/>
              <w:ind w:left="0" w:leftChars="0" w:firstLine="0" w:firstLineChars="0"/>
              <w:jc w:val="center"/>
              <w:rPr>
                <w:rFonts w:hint="eastAsia" w:ascii="楷体" w:hAnsi="楷体" w:eastAsia="楷体" w:cs="楷体"/>
                <w:b w:val="0"/>
                <w:bCs w:val="0"/>
                <w:color w:val="auto"/>
                <w:sz w:val="24"/>
                <w:szCs w:val="24"/>
                <w:vertAlign w:val="baseline"/>
                <w:lang w:val="en-US" w:eastAsia="zh-CN"/>
              </w:rPr>
            </w:pPr>
            <w:r>
              <w:rPr>
                <w:rFonts w:hint="eastAsia" w:ascii="楷体" w:hAnsi="楷体" w:eastAsia="楷体" w:cs="楷体"/>
                <w:b w:val="0"/>
                <w:bCs w:val="0"/>
                <w:color w:val="auto"/>
                <w:sz w:val="24"/>
                <w:szCs w:val="24"/>
                <w:vertAlign w:val="baseline"/>
                <w:lang w:val="en-US" w:eastAsia="zh-CN"/>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791" w:type="dxa"/>
            <w:vAlign w:val="center"/>
          </w:tcPr>
          <w:p>
            <w:pPr>
              <w:numPr>
                <w:ilvl w:val="0"/>
                <w:numId w:val="0"/>
              </w:numPr>
              <w:spacing w:line="240" w:lineRule="auto"/>
              <w:ind w:left="0" w:leftChars="0" w:firstLine="0" w:firstLineChars="0"/>
              <w:jc w:val="center"/>
              <w:rPr>
                <w:rFonts w:hint="default" w:ascii="楷体" w:hAnsi="楷体" w:eastAsia="楷体" w:cs="楷体"/>
                <w:b w:val="0"/>
                <w:bCs w:val="0"/>
                <w:color w:val="000000" w:themeColor="text1"/>
                <w:kern w:val="2"/>
                <w:sz w:val="24"/>
                <w:szCs w:val="24"/>
                <w:vertAlign w:val="baseline"/>
                <w:lang w:val="en-US" w:eastAsia="zh-CN" w:bidi="ar-SA"/>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28</w:t>
            </w:r>
          </w:p>
        </w:tc>
        <w:tc>
          <w:tcPr>
            <w:tcW w:w="1264" w:type="dxa"/>
            <w:vMerge w:val="continue"/>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p>
        </w:tc>
        <w:tc>
          <w:tcPr>
            <w:tcW w:w="5296" w:type="dxa"/>
            <w:vAlign w:val="center"/>
          </w:tcPr>
          <w:p>
            <w:pPr>
              <w:keepNext w:val="0"/>
              <w:keepLines w:val="0"/>
              <w:widowControl/>
              <w:suppressLineNumbers w:val="0"/>
              <w:spacing w:line="240" w:lineRule="auto"/>
              <w:jc w:val="left"/>
              <w:textAlignment w:val="center"/>
              <w:rPr>
                <w:rFonts w:hint="eastAsia" w:ascii="楷体" w:hAnsi="楷体" w:eastAsia="楷体" w:cs="楷体"/>
                <w:i w:val="0"/>
                <w:color w:val="000000" w:themeColor="text1"/>
                <w:kern w:val="0"/>
                <w:sz w:val="24"/>
                <w:szCs w:val="24"/>
                <w:u w:val="none"/>
                <w:lang w:val="en-US" w:eastAsia="zh-CN" w:bidi="ar"/>
                <w14:textFill>
                  <w14:solidFill>
                    <w14:schemeClr w14:val="tx1"/>
                  </w14:solidFill>
                </w14:textFill>
              </w:rPr>
            </w:pPr>
            <w:r>
              <w:rPr>
                <w:rFonts w:hint="eastAsia" w:ascii="楷体" w:hAnsi="楷体" w:eastAsia="楷体" w:cs="楷体"/>
                <w:i w:val="0"/>
                <w:color w:val="000000" w:themeColor="text1"/>
                <w:kern w:val="0"/>
                <w:sz w:val="24"/>
                <w:szCs w:val="24"/>
                <w:u w:val="none"/>
                <w:lang w:val="en-US" w:eastAsia="zh-CN" w:bidi="ar"/>
                <w14:textFill>
                  <w14:solidFill>
                    <w14:schemeClr w14:val="tx1"/>
                  </w14:solidFill>
                </w14:textFill>
              </w:rPr>
              <w:t>外门窗塞缝成型质量较差，不密实，透亮；</w:t>
            </w:r>
          </w:p>
        </w:tc>
        <w:tc>
          <w:tcPr>
            <w:tcW w:w="1408" w:type="dxa"/>
            <w:vAlign w:val="center"/>
          </w:tcPr>
          <w:p>
            <w:pPr>
              <w:numPr>
                <w:ilvl w:val="0"/>
                <w:numId w:val="0"/>
              </w:numPr>
              <w:spacing w:line="240" w:lineRule="auto"/>
              <w:ind w:left="0" w:leftChars="0" w:firstLine="0" w:firstLineChars="0"/>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w:t>
            </w:r>
          </w:p>
        </w:tc>
        <w:tc>
          <w:tcPr>
            <w:tcW w:w="784" w:type="dxa"/>
            <w:vAlign w:val="center"/>
          </w:tcPr>
          <w:p>
            <w:pPr>
              <w:numPr>
                <w:ilvl w:val="0"/>
                <w:numId w:val="0"/>
              </w:numPr>
              <w:spacing w:line="240" w:lineRule="auto"/>
              <w:ind w:left="0" w:leftChars="0" w:firstLine="0" w:firstLineChars="0"/>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791" w:type="dxa"/>
            <w:vAlign w:val="center"/>
          </w:tcPr>
          <w:p>
            <w:pPr>
              <w:numPr>
                <w:ilvl w:val="0"/>
                <w:numId w:val="0"/>
              </w:numPr>
              <w:spacing w:line="240" w:lineRule="auto"/>
              <w:ind w:left="0" w:leftChars="0" w:firstLine="0" w:firstLineChars="0"/>
              <w:jc w:val="center"/>
              <w:rPr>
                <w:rFonts w:hint="default" w:ascii="楷体" w:hAnsi="楷体" w:eastAsia="楷体" w:cs="楷体"/>
                <w:b w:val="0"/>
                <w:bCs w:val="0"/>
                <w:color w:val="000000" w:themeColor="text1"/>
                <w:kern w:val="2"/>
                <w:sz w:val="24"/>
                <w:szCs w:val="24"/>
                <w:vertAlign w:val="baseline"/>
                <w:lang w:val="en-US" w:eastAsia="zh-CN" w:bidi="ar-SA"/>
                <w14:textFill>
                  <w14:solidFill>
                    <w14:schemeClr w14:val="tx1"/>
                  </w14:solidFill>
                </w14:textFill>
              </w:rPr>
            </w:pPr>
            <w:r>
              <w:rPr>
                <w:sz w:val="24"/>
              </w:rPr>
              <mc:AlternateContent>
                <mc:Choice Requires="wps">
                  <w:drawing>
                    <wp:anchor distT="0" distB="0" distL="114300" distR="114300" simplePos="0" relativeHeight="251668480" behindDoc="0" locked="0" layoutInCell="1" allowOverlap="1">
                      <wp:simplePos x="0" y="0"/>
                      <wp:positionH relativeFrom="column">
                        <wp:posOffset>465455</wp:posOffset>
                      </wp:positionH>
                      <wp:positionV relativeFrom="paragraph">
                        <wp:posOffset>88265</wp:posOffset>
                      </wp:positionV>
                      <wp:extent cx="698500" cy="294005"/>
                      <wp:effectExtent l="0" t="0" r="6350" b="10795"/>
                      <wp:wrapNone/>
                      <wp:docPr id="12" name="文本框 12"/>
                      <wp:cNvGraphicFramePr/>
                      <a:graphic xmlns:a="http://schemas.openxmlformats.org/drawingml/2006/main">
                        <a:graphicData uri="http://schemas.microsoft.com/office/word/2010/wordprocessingShape">
                          <wps:wsp>
                            <wps:cNvSpPr txBox="1"/>
                            <wps:spPr>
                              <a:xfrm>
                                <a:off x="1261110" y="1419225"/>
                                <a:ext cx="698500" cy="29400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楷体" w:hAnsi="楷体" w:eastAsia="楷体" w:cs="楷体"/>
                                      <w:sz w:val="24"/>
                                      <w:szCs w:val="32"/>
                                      <w:lang w:val="en-US" w:eastAsia="zh-CN"/>
                                    </w:rPr>
                                  </w:pPr>
                                  <w:r>
                                    <w:rPr>
                                      <w:rFonts w:hint="eastAsia" w:ascii="楷体" w:hAnsi="楷体" w:eastAsia="楷体" w:cs="楷体"/>
                                      <w:b/>
                                      <w:bCs/>
                                      <w:sz w:val="24"/>
                                      <w:szCs w:val="32"/>
                                      <w:lang w:val="en-US" w:eastAsia="zh-CN"/>
                                    </w:rPr>
                                    <w:t>渗漏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65pt;margin-top:6.95pt;height:23.15pt;width:55pt;z-index:251668480;mso-width-relative:page;mso-height-relative:page;" fillcolor="#FFFFFF [3201]" filled="t" stroked="f" coordsize="21600,21600" o:gfxdata="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jYq2m0gAAAAgB&#10;AAAPAAAAAAAAAAEAIAAAACIAAABkcnMvZG93bnJldi54bWxQSwECFAAUAAAACACHTuJA2Axe8FoC&#10;AACcBAAADgAAAAAAAAABACAAAAAhAQAAZHJzL2Uyb0RvYy54bWxQSwUGAAAAAAYABgBZAQAA7QUA&#10;AAAA&#10;">
                      <v:fill on="t" focussize="0,0"/>
                      <v:stroke on="f" weight="0.5pt"/>
                      <v:imagedata o:title=""/>
                      <o:lock v:ext="edit" aspectratio="f"/>
                      <v:textbox>
                        <w:txbxContent>
                          <w:p>
                            <w:pPr>
                              <w:jc w:val="center"/>
                              <w:rPr>
                                <w:rFonts w:hint="eastAsia" w:ascii="楷体" w:hAnsi="楷体" w:eastAsia="楷体" w:cs="楷体"/>
                                <w:sz w:val="24"/>
                                <w:szCs w:val="32"/>
                                <w:lang w:val="en-US" w:eastAsia="zh-CN"/>
                              </w:rPr>
                            </w:pPr>
                            <w:r>
                              <w:rPr>
                                <w:rFonts w:hint="eastAsia" w:ascii="楷体" w:hAnsi="楷体" w:eastAsia="楷体" w:cs="楷体"/>
                                <w:b/>
                                <w:bCs/>
                                <w:sz w:val="24"/>
                                <w:szCs w:val="32"/>
                                <w:lang w:val="en-US" w:eastAsia="zh-CN"/>
                              </w:rPr>
                              <w:t>渗漏</w:t>
                            </w:r>
                          </w:p>
                        </w:txbxContent>
                      </v:textbox>
                    </v:shape>
                  </w:pict>
                </mc:Fallback>
              </mc:AlternateContent>
            </w: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29</w:t>
            </w:r>
          </w:p>
        </w:tc>
        <w:tc>
          <w:tcPr>
            <w:tcW w:w="1264" w:type="dxa"/>
            <w:vMerge w:val="continue"/>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p>
        </w:tc>
        <w:tc>
          <w:tcPr>
            <w:tcW w:w="5296" w:type="dxa"/>
            <w:vAlign w:val="center"/>
          </w:tcPr>
          <w:p>
            <w:pPr>
              <w:keepNext w:val="0"/>
              <w:keepLines w:val="0"/>
              <w:widowControl/>
              <w:suppressLineNumbers w:val="0"/>
              <w:spacing w:line="240" w:lineRule="auto"/>
              <w:jc w:val="left"/>
              <w:textAlignment w:val="center"/>
              <w:rPr>
                <w:rFonts w:hint="eastAsia" w:ascii="楷体" w:hAnsi="楷体" w:eastAsia="楷体" w:cs="楷体"/>
                <w:color w:val="000000" w:themeColor="text1"/>
                <w:sz w:val="24"/>
                <w:szCs w:val="24"/>
                <w:lang w:val="en-US" w:eastAsia="zh-CN"/>
                <w14:textFill>
                  <w14:solidFill>
                    <w14:schemeClr w14:val="tx1"/>
                  </w14:solidFill>
                </w14:textFill>
              </w:rPr>
            </w:pPr>
            <w:r>
              <w:rPr>
                <w:rFonts w:hint="eastAsia" w:ascii="楷体" w:hAnsi="楷体" w:eastAsia="楷体" w:cs="楷体"/>
                <w:i w:val="0"/>
                <w:color w:val="000000" w:themeColor="text1"/>
                <w:kern w:val="0"/>
                <w:sz w:val="24"/>
                <w:szCs w:val="24"/>
                <w:u w:val="none"/>
                <w:lang w:val="en-US" w:eastAsia="zh-CN" w:bidi="ar"/>
                <w14:textFill>
                  <w14:solidFill>
                    <w14:schemeClr w14:val="tx1"/>
                  </w14:solidFill>
                </w14:textFill>
              </w:rPr>
              <w:t>防水基层（地下室、厨卫间、阳台、屋面）处理不到位、防水厚度达不到设计要求；</w:t>
            </w:r>
          </w:p>
        </w:tc>
        <w:tc>
          <w:tcPr>
            <w:tcW w:w="1408" w:type="dxa"/>
            <w:vAlign w:val="center"/>
          </w:tcPr>
          <w:p>
            <w:pPr>
              <w:numPr>
                <w:ilvl w:val="0"/>
                <w:numId w:val="0"/>
              </w:numPr>
              <w:spacing w:line="240" w:lineRule="auto"/>
              <w:ind w:left="0" w:leftChars="0" w:firstLine="0" w:firstLineChars="0"/>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w:t>
            </w:r>
          </w:p>
        </w:tc>
        <w:tc>
          <w:tcPr>
            <w:tcW w:w="784" w:type="dxa"/>
            <w:vAlign w:val="center"/>
          </w:tcPr>
          <w:p>
            <w:pPr>
              <w:numPr>
                <w:ilvl w:val="0"/>
                <w:numId w:val="0"/>
              </w:numPr>
              <w:spacing w:line="240" w:lineRule="auto"/>
              <w:ind w:left="0" w:leftChars="0" w:firstLine="0" w:firstLineChars="0"/>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791" w:type="dxa"/>
            <w:vAlign w:val="center"/>
          </w:tcPr>
          <w:p>
            <w:pPr>
              <w:numPr>
                <w:ilvl w:val="0"/>
                <w:numId w:val="0"/>
              </w:numPr>
              <w:spacing w:line="240" w:lineRule="auto"/>
              <w:ind w:left="0" w:leftChars="0" w:firstLine="0" w:firstLineChars="0"/>
              <w:jc w:val="center"/>
              <w:rPr>
                <w:rFonts w:hint="default" w:ascii="楷体" w:hAnsi="楷体" w:eastAsia="楷体" w:cs="楷体"/>
                <w:b w:val="0"/>
                <w:bCs w:val="0"/>
                <w:color w:val="000000" w:themeColor="text1"/>
                <w:kern w:val="2"/>
                <w:sz w:val="24"/>
                <w:szCs w:val="24"/>
                <w:vertAlign w:val="baseline"/>
                <w:lang w:val="en-US" w:eastAsia="zh-CN" w:bidi="ar-SA"/>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30</w:t>
            </w:r>
          </w:p>
        </w:tc>
        <w:tc>
          <w:tcPr>
            <w:tcW w:w="1264" w:type="dxa"/>
            <w:vMerge w:val="continue"/>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p>
        </w:tc>
        <w:tc>
          <w:tcPr>
            <w:tcW w:w="5296" w:type="dxa"/>
            <w:vAlign w:val="center"/>
          </w:tcPr>
          <w:p>
            <w:pPr>
              <w:keepNext w:val="0"/>
              <w:keepLines w:val="0"/>
              <w:widowControl/>
              <w:numPr>
                <w:ilvl w:val="0"/>
                <w:numId w:val="13"/>
              </w:numPr>
              <w:suppressLineNumbers w:val="0"/>
              <w:spacing w:line="240" w:lineRule="auto"/>
              <w:jc w:val="left"/>
              <w:textAlignment w:val="center"/>
              <w:rPr>
                <w:rFonts w:hint="eastAsia" w:ascii="楷体" w:hAnsi="楷体" w:eastAsia="楷体" w:cs="楷体"/>
                <w:i w:val="0"/>
                <w:color w:val="000000" w:themeColor="text1"/>
                <w:kern w:val="0"/>
                <w:sz w:val="24"/>
                <w:szCs w:val="24"/>
                <w:u w:val="none"/>
                <w:lang w:val="en-US" w:eastAsia="zh-CN" w:bidi="ar"/>
                <w14:textFill>
                  <w14:solidFill>
                    <w14:schemeClr w14:val="tx1"/>
                  </w14:solidFill>
                </w14:textFill>
              </w:rPr>
            </w:pPr>
            <w:r>
              <w:rPr>
                <w:rFonts w:hint="eastAsia" w:ascii="楷体" w:hAnsi="楷体" w:eastAsia="楷体" w:cs="楷体"/>
                <w:i w:val="0"/>
                <w:color w:val="000000" w:themeColor="text1"/>
                <w:kern w:val="0"/>
                <w:sz w:val="24"/>
                <w:szCs w:val="24"/>
                <w:u w:val="none"/>
                <w:lang w:val="en-US" w:eastAsia="zh-CN" w:bidi="ar"/>
                <w14:textFill>
                  <w14:solidFill>
                    <w14:schemeClr w14:val="tx1"/>
                  </w14:solidFill>
                </w14:textFill>
              </w:rPr>
              <w:t>地下室顶板、外墙防水完成后渗漏，按地下室建筑面积计，每1千平方米不得超过1处；</w:t>
            </w:r>
          </w:p>
        </w:tc>
        <w:tc>
          <w:tcPr>
            <w:tcW w:w="1408" w:type="dxa"/>
            <w:vAlign w:val="center"/>
          </w:tcPr>
          <w:p>
            <w:pPr>
              <w:numPr>
                <w:ilvl w:val="0"/>
                <w:numId w:val="0"/>
              </w:numPr>
              <w:spacing w:line="240" w:lineRule="auto"/>
              <w:ind w:left="0" w:leftChars="0" w:firstLine="0" w:firstLineChars="0"/>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w:t>
            </w:r>
          </w:p>
        </w:tc>
        <w:tc>
          <w:tcPr>
            <w:tcW w:w="784" w:type="dxa"/>
            <w:vAlign w:val="center"/>
          </w:tcPr>
          <w:p>
            <w:pPr>
              <w:numPr>
                <w:ilvl w:val="0"/>
                <w:numId w:val="0"/>
              </w:numPr>
              <w:spacing w:line="240" w:lineRule="auto"/>
              <w:ind w:left="0" w:leftChars="0" w:firstLine="0" w:firstLineChars="0"/>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numPr>
                <w:ilvl w:val="0"/>
                <w:numId w:val="0"/>
              </w:numPr>
              <w:spacing w:line="240" w:lineRule="auto"/>
              <w:ind w:left="0" w:leftChars="0" w:firstLine="0" w:firstLineChars="0"/>
              <w:jc w:val="center"/>
              <w:rPr>
                <w:rFonts w:hint="default" w:ascii="楷体" w:hAnsi="楷体" w:eastAsia="楷体" w:cs="楷体"/>
                <w:b w:val="0"/>
                <w:bCs w:val="0"/>
                <w:color w:val="000000" w:themeColor="text1"/>
                <w:kern w:val="2"/>
                <w:sz w:val="24"/>
                <w:szCs w:val="24"/>
                <w:vertAlign w:val="baseline"/>
                <w:lang w:val="en-US" w:eastAsia="zh-CN" w:bidi="ar-SA"/>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31</w:t>
            </w:r>
          </w:p>
        </w:tc>
        <w:tc>
          <w:tcPr>
            <w:tcW w:w="1264" w:type="dxa"/>
            <w:vMerge w:val="continue"/>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p>
        </w:tc>
        <w:tc>
          <w:tcPr>
            <w:tcW w:w="5296" w:type="dxa"/>
            <w:vAlign w:val="center"/>
          </w:tcPr>
          <w:p>
            <w:pPr>
              <w:keepNext w:val="0"/>
              <w:keepLines w:val="0"/>
              <w:widowControl/>
              <w:numPr>
                <w:ilvl w:val="0"/>
                <w:numId w:val="0"/>
              </w:numPr>
              <w:suppressLineNumbers w:val="0"/>
              <w:spacing w:line="240" w:lineRule="auto"/>
              <w:ind w:leftChars="0"/>
              <w:jc w:val="left"/>
              <w:textAlignment w:val="center"/>
              <w:rPr>
                <w:rFonts w:hint="eastAsia" w:ascii="楷体" w:hAnsi="楷体" w:eastAsia="楷体" w:cs="楷体"/>
                <w:color w:val="000000" w:themeColor="text1"/>
                <w:sz w:val="24"/>
                <w:szCs w:val="24"/>
                <w:lang w:val="en-US" w:eastAsia="zh-CN"/>
                <w14:textFill>
                  <w14:solidFill>
                    <w14:schemeClr w14:val="tx1"/>
                  </w14:solidFill>
                </w14:textFill>
              </w:rPr>
            </w:pPr>
            <w:r>
              <w:rPr>
                <w:rFonts w:hint="eastAsia" w:ascii="楷体" w:hAnsi="楷体" w:eastAsia="楷体" w:cs="楷体"/>
                <w:i w:val="0"/>
                <w:color w:val="000000" w:themeColor="text1"/>
                <w:kern w:val="0"/>
                <w:sz w:val="24"/>
                <w:szCs w:val="24"/>
                <w:u w:val="none"/>
                <w:lang w:val="en-US" w:eastAsia="zh-CN" w:bidi="ar"/>
                <w14:textFill>
                  <w14:solidFill>
                    <w14:schemeClr w14:val="tx1"/>
                  </w14:solidFill>
                </w14:textFill>
              </w:rPr>
              <w:t>地下室已拆模，但无照明下不去，视为有渗漏10处以上；</w:t>
            </w:r>
          </w:p>
        </w:tc>
        <w:tc>
          <w:tcPr>
            <w:tcW w:w="1408" w:type="dxa"/>
            <w:vAlign w:val="center"/>
          </w:tcPr>
          <w:p>
            <w:pPr>
              <w:numPr>
                <w:ilvl w:val="0"/>
                <w:numId w:val="0"/>
              </w:numPr>
              <w:spacing w:line="240" w:lineRule="auto"/>
              <w:ind w:left="0" w:leftChars="0" w:firstLine="0" w:firstLineChars="0"/>
              <w:jc w:val="center"/>
              <w:rPr>
                <w:rFonts w:hint="eastAsia" w:ascii="楷体" w:hAnsi="楷体" w:eastAsia="楷体" w:cs="楷体"/>
                <w:b w:val="0"/>
                <w:bCs w:val="0"/>
                <w:color w:val="000000" w:themeColor="text1"/>
                <w:kern w:val="2"/>
                <w:sz w:val="24"/>
                <w:szCs w:val="24"/>
                <w:vertAlign w:val="baseline"/>
                <w:lang w:val="en-US" w:eastAsia="zh-CN" w:bidi="ar-SA"/>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w:t>
            </w:r>
          </w:p>
        </w:tc>
        <w:tc>
          <w:tcPr>
            <w:tcW w:w="784"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numPr>
                <w:ilvl w:val="0"/>
                <w:numId w:val="0"/>
              </w:numPr>
              <w:spacing w:line="240" w:lineRule="auto"/>
              <w:ind w:left="0" w:leftChars="0" w:firstLine="0" w:firstLineChars="0"/>
              <w:jc w:val="center"/>
              <w:rPr>
                <w:rFonts w:hint="default" w:ascii="楷体" w:hAnsi="楷体" w:eastAsia="楷体" w:cs="楷体"/>
                <w:b w:val="0"/>
                <w:bCs w:val="0"/>
                <w:color w:val="000000" w:themeColor="text1"/>
                <w:kern w:val="2"/>
                <w:sz w:val="24"/>
                <w:szCs w:val="24"/>
                <w:vertAlign w:val="baseline"/>
                <w:lang w:val="en-US" w:eastAsia="zh-CN" w:bidi="ar-SA"/>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32</w:t>
            </w:r>
          </w:p>
        </w:tc>
        <w:tc>
          <w:tcPr>
            <w:tcW w:w="1264" w:type="dxa"/>
            <w:vMerge w:val="restart"/>
            <w:vAlign w:val="center"/>
          </w:tcPr>
          <w:p>
            <w:pPr>
              <w:numPr>
                <w:ilvl w:val="0"/>
                <w:numId w:val="0"/>
              </w:numPr>
              <w:spacing w:line="24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t>空臌开裂</w:t>
            </w:r>
          </w:p>
        </w:tc>
        <w:tc>
          <w:tcPr>
            <w:tcW w:w="5296" w:type="dxa"/>
            <w:vAlign w:val="center"/>
          </w:tcPr>
          <w:p>
            <w:pPr>
              <w:spacing w:line="240" w:lineRule="auto"/>
              <w:rPr>
                <w:rFonts w:hint="eastAsia" w:ascii="楷体" w:hAnsi="楷体" w:eastAsia="楷体" w:cs="楷体"/>
                <w:color w:val="000000" w:themeColor="text1"/>
                <w:sz w:val="24"/>
                <w:szCs w:val="24"/>
                <w:lang w:val="en-US" w:eastAsia="zh-CN"/>
                <w14:textFill>
                  <w14:solidFill>
                    <w14:schemeClr w14:val="tx1"/>
                  </w14:solidFill>
                </w14:textFill>
              </w:rPr>
            </w:pPr>
            <w:r>
              <w:rPr>
                <w:rFonts w:hint="eastAsia" w:ascii="楷体" w:hAnsi="楷体" w:eastAsia="楷体" w:cs="楷体"/>
                <w:color w:val="000000" w:themeColor="text1"/>
                <w:sz w:val="24"/>
                <w:szCs w:val="24"/>
                <w:lang w:val="en-US" w:eastAsia="zh-CN"/>
                <w14:textFill>
                  <w14:solidFill>
                    <w14:schemeClr w14:val="tx1"/>
                  </w14:solidFill>
                </w14:textFill>
              </w:rPr>
              <w:t>1.</w:t>
            </w:r>
            <w:r>
              <w:rPr>
                <w:rFonts w:hint="eastAsia" w:ascii="楷体" w:hAnsi="楷体" w:eastAsia="楷体" w:cs="楷体"/>
                <w:color w:val="000000" w:themeColor="text1"/>
                <w:sz w:val="24"/>
                <w:szCs w:val="24"/>
                <w14:textFill>
                  <w14:solidFill>
                    <w14:schemeClr w14:val="tx1"/>
                  </w14:solidFill>
                </w14:textFill>
              </w:rPr>
              <w:t>不同基体没有采用（含各类线槽）镀锌钢丝网（网格≤15×15，直径≥0.7mm）或耐碱玻纤网处理</w:t>
            </w:r>
            <w:r>
              <w:rPr>
                <w:rFonts w:hint="eastAsia" w:ascii="楷体" w:hAnsi="楷体" w:eastAsia="楷体" w:cs="楷体"/>
                <w:color w:val="000000" w:themeColor="text1"/>
                <w:sz w:val="24"/>
                <w:szCs w:val="24"/>
                <w:lang w:val="en-US" w:eastAsia="zh-CN"/>
                <w14:textFill>
                  <w14:solidFill>
                    <w14:schemeClr w14:val="tx1"/>
                  </w14:solidFill>
                </w14:textFill>
              </w:rPr>
              <w:t>；</w:t>
            </w:r>
          </w:p>
          <w:p>
            <w:pPr>
              <w:spacing w:line="240" w:lineRule="auto"/>
              <w:rPr>
                <w:rFonts w:hint="eastAsia" w:ascii="楷体" w:hAnsi="楷体" w:eastAsia="楷体" w:cs="楷体"/>
                <w:color w:val="000000" w:themeColor="text1"/>
                <w:sz w:val="24"/>
                <w:szCs w:val="24"/>
                <w:lang w:val="en-US" w:eastAsia="zh-CN"/>
                <w14:textFill>
                  <w14:solidFill>
                    <w14:schemeClr w14:val="tx1"/>
                  </w14:solidFill>
                </w14:textFill>
              </w:rPr>
            </w:pPr>
            <w:r>
              <w:rPr>
                <w:rFonts w:hint="eastAsia" w:ascii="楷体" w:hAnsi="楷体" w:eastAsia="楷体" w:cs="楷体"/>
                <w:color w:val="000000" w:themeColor="text1"/>
                <w:sz w:val="24"/>
                <w:szCs w:val="24"/>
                <w:lang w:val="en-US" w:eastAsia="zh-CN"/>
                <w14:textFill>
                  <w14:solidFill>
                    <w14:schemeClr w14:val="tx1"/>
                  </w14:solidFill>
                </w14:textFill>
              </w:rPr>
              <w:t>2.</w:t>
            </w:r>
            <w:r>
              <w:rPr>
                <w:rFonts w:hint="eastAsia" w:ascii="楷体" w:hAnsi="楷体" w:eastAsia="楷体" w:cs="楷体"/>
                <w:color w:val="000000" w:themeColor="text1"/>
                <w:sz w:val="24"/>
                <w:szCs w:val="24"/>
                <w14:textFill>
                  <w14:solidFill>
                    <w14:schemeClr w14:val="tx1"/>
                  </w14:solidFill>
                </w14:textFill>
              </w:rPr>
              <w:t>抹灰甩浆层未养护、脱驳</w:t>
            </w:r>
            <w:r>
              <w:rPr>
                <w:rFonts w:hint="eastAsia" w:ascii="楷体" w:hAnsi="楷体" w:eastAsia="楷体" w:cs="楷体"/>
                <w:color w:val="000000" w:themeColor="text1"/>
                <w:sz w:val="24"/>
                <w:szCs w:val="24"/>
                <w:lang w:val="en-US" w:eastAsia="zh-CN"/>
                <w14:textFill>
                  <w14:solidFill>
                    <w14:schemeClr w14:val="tx1"/>
                  </w14:solidFill>
                </w14:textFill>
              </w:rPr>
              <w:t>；</w:t>
            </w:r>
          </w:p>
          <w:p>
            <w:pPr>
              <w:spacing w:line="240" w:lineRule="auto"/>
              <w:rPr>
                <w:rFonts w:hint="eastAsia" w:ascii="楷体" w:hAnsi="楷体" w:eastAsia="楷体" w:cs="楷体"/>
                <w:color w:val="000000" w:themeColor="text1"/>
                <w:sz w:val="24"/>
                <w:szCs w:val="24"/>
                <w:lang w:val="en-US" w:eastAsia="zh-CN"/>
                <w14:textFill>
                  <w14:solidFill>
                    <w14:schemeClr w14:val="tx1"/>
                  </w14:solidFill>
                </w14:textFill>
              </w:rPr>
            </w:pPr>
            <w:r>
              <w:rPr>
                <w:rFonts w:hint="eastAsia" w:ascii="楷体" w:hAnsi="楷体" w:eastAsia="楷体" w:cs="楷体"/>
                <w:color w:val="000000" w:themeColor="text1"/>
                <w:sz w:val="24"/>
                <w:szCs w:val="24"/>
                <w:lang w:val="en-US" w:eastAsia="zh-CN"/>
                <w14:textFill>
                  <w14:solidFill>
                    <w14:schemeClr w14:val="tx1"/>
                  </w14:solidFill>
                </w14:textFill>
              </w:rPr>
              <w:t>3.</w:t>
            </w:r>
            <w:r>
              <w:rPr>
                <w:rFonts w:hint="eastAsia" w:ascii="楷体" w:hAnsi="楷体" w:eastAsia="楷体" w:cs="楷体"/>
                <w:color w:val="000000" w:themeColor="text1"/>
                <w:sz w:val="24"/>
                <w:szCs w:val="24"/>
                <w14:textFill>
                  <w14:solidFill>
                    <w14:schemeClr w14:val="tx1"/>
                  </w14:solidFill>
                </w14:textFill>
              </w:rPr>
              <w:t>外墙抹灰没有按层设置简易伸缩缝</w:t>
            </w:r>
            <w:r>
              <w:rPr>
                <w:rFonts w:hint="eastAsia" w:ascii="楷体" w:hAnsi="楷体" w:eastAsia="楷体" w:cs="楷体"/>
                <w:color w:val="000000" w:themeColor="text1"/>
                <w:sz w:val="24"/>
                <w:szCs w:val="24"/>
                <w:lang w:val="en-US" w:eastAsia="zh-CN"/>
                <w14:textFill>
                  <w14:solidFill>
                    <w14:schemeClr w14:val="tx1"/>
                  </w14:solidFill>
                </w14:textFill>
              </w:rPr>
              <w:t>；</w:t>
            </w:r>
          </w:p>
          <w:p>
            <w:pPr>
              <w:spacing w:line="240" w:lineRule="auto"/>
              <w:rPr>
                <w:rFonts w:hint="eastAsia" w:ascii="楷体" w:hAnsi="楷体" w:eastAsia="楷体" w:cs="楷体"/>
                <w:color w:val="000000" w:themeColor="text1"/>
                <w:sz w:val="24"/>
                <w:szCs w:val="24"/>
                <w:lang w:val="en-US" w:eastAsia="zh-CN"/>
                <w14:textFill>
                  <w14:solidFill>
                    <w14:schemeClr w14:val="tx1"/>
                  </w14:solidFill>
                </w14:textFill>
              </w:rPr>
            </w:pPr>
            <w:r>
              <w:rPr>
                <w:rFonts w:hint="eastAsia" w:ascii="楷体" w:hAnsi="楷体" w:eastAsia="楷体" w:cs="楷体"/>
                <w:color w:val="000000" w:themeColor="text1"/>
                <w:sz w:val="24"/>
                <w:szCs w:val="24"/>
                <w:lang w:val="en-US" w:eastAsia="zh-CN"/>
                <w14:textFill>
                  <w14:solidFill>
                    <w14:schemeClr w14:val="tx1"/>
                  </w14:solidFill>
                </w14:textFill>
              </w:rPr>
              <w:t>合10处以上</w:t>
            </w:r>
          </w:p>
        </w:tc>
        <w:tc>
          <w:tcPr>
            <w:tcW w:w="1408"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2000（5-10处1000）</w:t>
            </w:r>
          </w:p>
        </w:tc>
        <w:tc>
          <w:tcPr>
            <w:tcW w:w="784"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numPr>
                <w:ilvl w:val="0"/>
                <w:numId w:val="0"/>
              </w:numPr>
              <w:spacing w:line="240" w:lineRule="auto"/>
              <w:ind w:left="0" w:leftChars="0" w:firstLine="0" w:firstLineChars="0"/>
              <w:jc w:val="center"/>
              <w:rPr>
                <w:rFonts w:hint="default" w:ascii="楷体" w:hAnsi="楷体" w:eastAsia="楷体" w:cs="楷体"/>
                <w:b w:val="0"/>
                <w:bCs w:val="0"/>
                <w:color w:val="000000" w:themeColor="text1"/>
                <w:kern w:val="2"/>
                <w:sz w:val="24"/>
                <w:szCs w:val="24"/>
                <w:vertAlign w:val="baseline"/>
                <w:lang w:val="en-US" w:eastAsia="zh-CN" w:bidi="ar-SA"/>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33</w:t>
            </w:r>
          </w:p>
        </w:tc>
        <w:tc>
          <w:tcPr>
            <w:tcW w:w="1264" w:type="dxa"/>
            <w:vMerge w:val="continue"/>
            <w:vAlign w:val="center"/>
          </w:tcPr>
          <w:p>
            <w:pPr>
              <w:numPr>
                <w:ilvl w:val="0"/>
                <w:numId w:val="0"/>
              </w:numPr>
              <w:spacing w:line="24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p>
        </w:tc>
        <w:tc>
          <w:tcPr>
            <w:tcW w:w="5296" w:type="dxa"/>
            <w:vAlign w:val="center"/>
          </w:tcPr>
          <w:p>
            <w:pPr>
              <w:spacing w:line="240" w:lineRule="auto"/>
              <w:rPr>
                <w:rFonts w:hint="eastAsia" w:ascii="楷体" w:hAnsi="楷体" w:eastAsia="楷体" w:cs="楷体"/>
                <w:color w:val="000000" w:themeColor="text1"/>
                <w:sz w:val="24"/>
                <w:szCs w:val="24"/>
                <w:lang w:val="en-US" w:eastAsia="zh-CN"/>
                <w14:textFill>
                  <w14:solidFill>
                    <w14:schemeClr w14:val="tx1"/>
                  </w14:solidFill>
                </w14:textFill>
              </w:rPr>
            </w:pPr>
            <w:r>
              <w:rPr>
                <w:rFonts w:hint="eastAsia" w:ascii="楷体" w:hAnsi="楷体" w:eastAsia="楷体" w:cs="楷体"/>
                <w:color w:val="000000" w:themeColor="text1"/>
                <w:sz w:val="24"/>
                <w:szCs w:val="24"/>
                <w:lang w:val="en-US" w:eastAsia="zh-CN"/>
                <w14:textFill>
                  <w14:solidFill>
                    <w14:schemeClr w14:val="tx1"/>
                  </w14:solidFill>
                </w14:textFill>
              </w:rPr>
              <w:t>装饰阶段墙地面裂缝每户内出现6处及以上不合格点；</w:t>
            </w:r>
          </w:p>
        </w:tc>
        <w:tc>
          <w:tcPr>
            <w:tcW w:w="1408"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w:t>
            </w:r>
          </w:p>
        </w:tc>
        <w:tc>
          <w:tcPr>
            <w:tcW w:w="784"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numPr>
                <w:ilvl w:val="0"/>
                <w:numId w:val="0"/>
              </w:numPr>
              <w:spacing w:line="240" w:lineRule="auto"/>
              <w:ind w:left="0" w:leftChars="0" w:firstLine="0" w:firstLineChars="0"/>
              <w:jc w:val="center"/>
              <w:rPr>
                <w:rFonts w:hint="default" w:ascii="楷体" w:hAnsi="楷体" w:eastAsia="楷体" w:cs="楷体"/>
                <w:b w:val="0"/>
                <w:bCs w:val="0"/>
                <w:color w:val="000000" w:themeColor="text1"/>
                <w:kern w:val="2"/>
                <w:sz w:val="24"/>
                <w:szCs w:val="24"/>
                <w:vertAlign w:val="baseline"/>
                <w:lang w:val="en-US" w:eastAsia="zh-CN" w:bidi="ar-SA"/>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34</w:t>
            </w:r>
          </w:p>
        </w:tc>
        <w:tc>
          <w:tcPr>
            <w:tcW w:w="1264" w:type="dxa"/>
            <w:vMerge w:val="continue"/>
            <w:vAlign w:val="center"/>
          </w:tcPr>
          <w:p>
            <w:pPr>
              <w:numPr>
                <w:ilvl w:val="0"/>
                <w:numId w:val="0"/>
              </w:numPr>
              <w:spacing w:line="24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p>
        </w:tc>
        <w:tc>
          <w:tcPr>
            <w:tcW w:w="5296" w:type="dxa"/>
            <w:vAlign w:val="center"/>
          </w:tcPr>
          <w:p>
            <w:pPr>
              <w:spacing w:line="240" w:lineRule="auto"/>
              <w:rPr>
                <w:rFonts w:hint="eastAsia" w:ascii="楷体" w:hAnsi="楷体" w:eastAsia="楷体" w:cs="楷体"/>
                <w:color w:val="000000" w:themeColor="text1"/>
                <w:sz w:val="24"/>
                <w:szCs w:val="24"/>
                <w:lang w:val="en-US" w:eastAsia="zh-CN"/>
                <w14:textFill>
                  <w14:solidFill>
                    <w14:schemeClr w14:val="tx1"/>
                  </w14:solidFill>
                </w14:textFill>
              </w:rPr>
            </w:pPr>
            <w:r>
              <w:rPr>
                <w:rFonts w:hint="eastAsia" w:ascii="楷体" w:hAnsi="楷体" w:eastAsia="楷体" w:cs="楷体"/>
                <w:color w:val="000000" w:themeColor="text1"/>
                <w:sz w:val="24"/>
                <w:szCs w:val="24"/>
                <w:lang w:val="en-US" w:eastAsia="zh-CN"/>
                <w14:textFill>
                  <w14:solidFill>
                    <w14:schemeClr w14:val="tx1"/>
                  </w14:solidFill>
                </w14:textFill>
              </w:rPr>
              <w:t>装饰阶段墙地面空鼓每户内出现5处以上不合格点且不合格点面积超过20cm﹡20cm</w:t>
            </w:r>
          </w:p>
        </w:tc>
        <w:tc>
          <w:tcPr>
            <w:tcW w:w="1408"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w:t>
            </w:r>
          </w:p>
        </w:tc>
        <w:tc>
          <w:tcPr>
            <w:tcW w:w="784"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numPr>
                <w:ilvl w:val="0"/>
                <w:numId w:val="0"/>
              </w:numPr>
              <w:spacing w:line="240" w:lineRule="auto"/>
              <w:ind w:left="0" w:leftChars="0" w:firstLine="0" w:firstLineChars="0"/>
              <w:jc w:val="center"/>
              <w:rPr>
                <w:rFonts w:hint="default" w:ascii="楷体" w:hAnsi="楷体" w:eastAsia="楷体" w:cs="楷体"/>
                <w:b w:val="0"/>
                <w:bCs w:val="0"/>
                <w:color w:val="000000" w:themeColor="text1"/>
                <w:kern w:val="2"/>
                <w:sz w:val="24"/>
                <w:szCs w:val="24"/>
                <w:vertAlign w:val="baseline"/>
                <w:lang w:val="en-US" w:eastAsia="zh-CN" w:bidi="ar-SA"/>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35</w:t>
            </w:r>
          </w:p>
        </w:tc>
        <w:tc>
          <w:tcPr>
            <w:tcW w:w="1264" w:type="dxa"/>
            <w:vAlign w:val="center"/>
          </w:tcPr>
          <w:p>
            <w:pPr>
              <w:numPr>
                <w:ilvl w:val="0"/>
                <w:numId w:val="0"/>
              </w:numPr>
              <w:spacing w:line="24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t>外墙保温</w:t>
            </w:r>
          </w:p>
        </w:tc>
        <w:tc>
          <w:tcPr>
            <w:tcW w:w="5296" w:type="dxa"/>
            <w:vAlign w:val="center"/>
          </w:tcPr>
          <w:p>
            <w:pPr>
              <w:keepNext w:val="0"/>
              <w:keepLines w:val="0"/>
              <w:widowControl/>
              <w:suppressLineNumbers w:val="0"/>
              <w:spacing w:line="240" w:lineRule="auto"/>
              <w:jc w:val="left"/>
              <w:textAlignment w:val="center"/>
              <w:rPr>
                <w:rFonts w:hint="eastAsia" w:ascii="楷体" w:hAnsi="楷体" w:eastAsia="楷体" w:cs="楷体"/>
                <w:i w:val="0"/>
                <w:color w:val="000000" w:themeColor="text1"/>
                <w:kern w:val="0"/>
                <w:sz w:val="24"/>
                <w:szCs w:val="24"/>
                <w:u w:val="none"/>
                <w:lang w:val="en-US" w:eastAsia="zh-CN" w:bidi="ar"/>
                <w14:textFill>
                  <w14:solidFill>
                    <w14:schemeClr w14:val="tx1"/>
                  </w14:solidFill>
                </w14:textFill>
              </w:rPr>
            </w:pPr>
            <w:r>
              <w:rPr>
                <w:rFonts w:hint="eastAsia" w:ascii="楷体" w:hAnsi="楷体" w:eastAsia="楷体" w:cs="楷体"/>
                <w:i w:val="0"/>
                <w:color w:val="000000" w:themeColor="text1"/>
                <w:kern w:val="0"/>
                <w:sz w:val="24"/>
                <w:szCs w:val="24"/>
                <w:u w:val="none"/>
                <w:lang w:val="en-US" w:eastAsia="zh-CN" w:bidi="ar"/>
                <w14:textFill>
                  <w14:solidFill>
                    <w14:schemeClr w14:val="tx1"/>
                  </w14:solidFill>
                </w14:textFill>
              </w:rPr>
              <w:t>外墙保温粘贴面积、锚钉数量不满足规范及设计方案要求；5处以上</w:t>
            </w:r>
          </w:p>
        </w:tc>
        <w:tc>
          <w:tcPr>
            <w:tcW w:w="1408"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2000（每处400）</w:t>
            </w:r>
          </w:p>
        </w:tc>
        <w:tc>
          <w:tcPr>
            <w:tcW w:w="784"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91" w:type="dxa"/>
            <w:vAlign w:val="center"/>
          </w:tcPr>
          <w:p>
            <w:pPr>
              <w:numPr>
                <w:ilvl w:val="0"/>
                <w:numId w:val="0"/>
              </w:numPr>
              <w:spacing w:line="240" w:lineRule="auto"/>
              <w:jc w:val="center"/>
              <w:rPr>
                <w:rFonts w:hint="default"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36</w:t>
            </w:r>
          </w:p>
        </w:tc>
        <w:tc>
          <w:tcPr>
            <w:tcW w:w="1264" w:type="dxa"/>
            <w:vAlign w:val="center"/>
          </w:tcPr>
          <w:p>
            <w:pPr>
              <w:numPr>
                <w:ilvl w:val="0"/>
                <w:numId w:val="0"/>
              </w:numPr>
              <w:spacing w:line="240" w:lineRule="auto"/>
              <w:jc w:val="cente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bCs/>
                <w:color w:val="000000" w:themeColor="text1"/>
                <w:sz w:val="24"/>
                <w:szCs w:val="24"/>
                <w:vertAlign w:val="baseline"/>
                <w:lang w:val="en-US" w:eastAsia="zh-CN"/>
                <w14:textFill>
                  <w14:solidFill>
                    <w14:schemeClr w14:val="tx1"/>
                  </w14:solidFill>
                </w14:textFill>
              </w:rPr>
              <w:t>问题整改</w:t>
            </w:r>
          </w:p>
        </w:tc>
        <w:tc>
          <w:tcPr>
            <w:tcW w:w="5296" w:type="dxa"/>
            <w:vAlign w:val="center"/>
          </w:tcPr>
          <w:p>
            <w:pPr>
              <w:keepNext w:val="0"/>
              <w:keepLines w:val="0"/>
              <w:widowControl/>
              <w:suppressLineNumbers w:val="0"/>
              <w:spacing w:line="240" w:lineRule="auto"/>
              <w:jc w:val="left"/>
              <w:textAlignment w:val="center"/>
              <w:rPr>
                <w:rFonts w:hint="eastAsia" w:ascii="楷体" w:hAnsi="楷体" w:eastAsia="楷体" w:cs="楷体"/>
                <w:i w:val="0"/>
                <w:color w:val="000000" w:themeColor="text1"/>
                <w:kern w:val="0"/>
                <w:sz w:val="24"/>
                <w:szCs w:val="24"/>
                <w:u w:val="none"/>
                <w:lang w:val="en-US" w:eastAsia="zh-CN" w:bidi="ar"/>
                <w14:textFill>
                  <w14:solidFill>
                    <w14:schemeClr w14:val="tx1"/>
                  </w14:solidFill>
                </w14:textFill>
              </w:rPr>
            </w:pPr>
            <w:r>
              <w:rPr>
                <w:rFonts w:hint="eastAsia" w:ascii="楷体" w:hAnsi="楷体" w:eastAsia="楷体" w:cs="楷体"/>
                <w:i w:val="0"/>
                <w:color w:val="000000" w:themeColor="text1"/>
                <w:kern w:val="0"/>
                <w:sz w:val="24"/>
                <w:szCs w:val="24"/>
                <w:u w:val="none"/>
                <w:lang w:val="en-US" w:eastAsia="zh-CN" w:bidi="ar"/>
                <w14:textFill>
                  <w14:solidFill>
                    <w14:schemeClr w14:val="tx1"/>
                  </w14:solidFill>
                </w14:textFill>
              </w:rPr>
              <w:t>所有一二类问题一周内无书面整改回复</w:t>
            </w:r>
          </w:p>
        </w:tc>
        <w:tc>
          <w:tcPr>
            <w:tcW w:w="1408"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2000</w:t>
            </w:r>
          </w:p>
        </w:tc>
        <w:tc>
          <w:tcPr>
            <w:tcW w:w="784" w:type="dxa"/>
            <w:vAlign w:val="center"/>
          </w:tcPr>
          <w:p>
            <w:pPr>
              <w:numPr>
                <w:ilvl w:val="0"/>
                <w:numId w:val="0"/>
              </w:numPr>
              <w:spacing w:line="240" w:lineRule="auto"/>
              <w:jc w:val="cente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4"/>
                <w:szCs w:val="24"/>
                <w:vertAlign w:val="baseline"/>
                <w:lang w:val="en-US" w:eastAsia="zh-CN"/>
                <w14:textFill>
                  <w14:solidFill>
                    <w14:schemeClr w14:val="tx1"/>
                  </w14:solidFill>
                </w14:textFill>
              </w:rPr>
              <w:t>黄</w:t>
            </w:r>
          </w:p>
        </w:tc>
      </w:tr>
    </w:tbl>
    <w:p>
      <w:pPr>
        <w:numPr>
          <w:ilvl w:val="0"/>
          <w:numId w:val="0"/>
        </w:numPr>
        <w:spacing w:line="360" w:lineRule="auto"/>
        <w:rPr>
          <w:rFonts w:hint="eastAsia" w:ascii="华文中宋" w:hAnsi="华文中宋" w:eastAsia="华文中宋" w:cs="华文细黑"/>
          <w:b/>
          <w:bCs/>
          <w:sz w:val="24"/>
          <w:lang w:val="en-US" w:eastAsia="zh-CN"/>
        </w:rPr>
      </w:pPr>
    </w:p>
    <w:p>
      <w:pPr>
        <w:numPr>
          <w:ilvl w:val="0"/>
          <w:numId w:val="0"/>
        </w:numPr>
        <w:spacing w:line="360" w:lineRule="auto"/>
        <w:rPr>
          <w:rFonts w:hint="eastAsia" w:ascii="华文中宋" w:hAnsi="华文中宋" w:eastAsia="华文中宋" w:cs="华文细黑"/>
          <w:b/>
          <w:bCs/>
          <w:sz w:val="24"/>
          <w:lang w:val="en-US" w:eastAsia="zh-CN"/>
        </w:rPr>
      </w:pPr>
    </w:p>
    <w:p>
      <w:pPr>
        <w:numPr>
          <w:ilvl w:val="0"/>
          <w:numId w:val="0"/>
        </w:numPr>
        <w:spacing w:line="360" w:lineRule="auto"/>
        <w:rPr>
          <w:rFonts w:hint="eastAsia" w:ascii="华文中宋" w:hAnsi="华文中宋" w:eastAsia="华文中宋" w:cs="华文细黑"/>
          <w:b/>
          <w:bCs/>
          <w:sz w:val="24"/>
          <w:lang w:val="en-US" w:eastAsia="zh-CN"/>
        </w:rPr>
      </w:pPr>
    </w:p>
    <w:p>
      <w:pPr>
        <w:numPr>
          <w:ilvl w:val="0"/>
          <w:numId w:val="0"/>
        </w:numPr>
        <w:spacing w:line="360" w:lineRule="auto"/>
        <w:rPr>
          <w:rFonts w:hint="eastAsia" w:ascii="华文中宋" w:hAnsi="华文中宋" w:eastAsia="华文中宋" w:cs="华文细黑"/>
          <w:b/>
          <w:bCs/>
          <w:sz w:val="24"/>
          <w:lang w:val="en-US" w:eastAsia="zh-CN"/>
        </w:rPr>
      </w:pPr>
    </w:p>
    <w:p>
      <w:pPr>
        <w:numPr>
          <w:ilvl w:val="0"/>
          <w:numId w:val="0"/>
        </w:numPr>
        <w:spacing w:line="360" w:lineRule="auto"/>
        <w:rPr>
          <w:rFonts w:hint="eastAsia" w:ascii="华文中宋" w:hAnsi="华文中宋" w:eastAsia="华文中宋" w:cs="华文细黑"/>
          <w:b/>
          <w:bCs/>
          <w:sz w:val="24"/>
          <w:lang w:val="en-US" w:eastAsia="zh-CN"/>
        </w:rPr>
      </w:pPr>
    </w:p>
    <w:sectPr>
      <w:footerReference r:id="rId3" w:type="default"/>
      <w:pgSz w:w="11906" w:h="16838"/>
      <w:pgMar w:top="1440" w:right="1253" w:bottom="1440" w:left="12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华文细黑">
    <w:altName w:val="微软雅黑"/>
    <w:panose1 w:val="02010600040101010101"/>
    <w:charset w:val="86"/>
    <w:family w:val="auto"/>
    <w:pitch w:val="default"/>
    <w:sig w:usb0="00000000" w:usb1="00000000" w:usb2="00000000" w:usb3="00000000" w:csb0="0004009F" w:csb1="DFD70000"/>
  </w:font>
  <w:font w:name="楷体">
    <w:altName w:val="宋体"/>
    <w:panose1 w:val="02010609060101010101"/>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A1EBEF"/>
    <w:multiLevelType w:val="singleLevel"/>
    <w:tmpl w:val="8AA1EBEF"/>
    <w:lvl w:ilvl="0" w:tentative="0">
      <w:start w:val="1"/>
      <w:numFmt w:val="decimal"/>
      <w:lvlText w:val="%1."/>
      <w:lvlJc w:val="left"/>
      <w:pPr>
        <w:tabs>
          <w:tab w:val="left" w:pos="312"/>
        </w:tabs>
      </w:pPr>
    </w:lvl>
  </w:abstractNum>
  <w:abstractNum w:abstractNumId="1">
    <w:nsid w:val="B3624C0F"/>
    <w:multiLevelType w:val="singleLevel"/>
    <w:tmpl w:val="B3624C0F"/>
    <w:lvl w:ilvl="0" w:tentative="0">
      <w:start w:val="1"/>
      <w:numFmt w:val="decimal"/>
      <w:lvlText w:val="%1."/>
      <w:lvlJc w:val="left"/>
      <w:pPr>
        <w:tabs>
          <w:tab w:val="left" w:pos="312"/>
        </w:tabs>
      </w:pPr>
    </w:lvl>
  </w:abstractNum>
  <w:abstractNum w:abstractNumId="2">
    <w:nsid w:val="BCCBAF31"/>
    <w:multiLevelType w:val="singleLevel"/>
    <w:tmpl w:val="BCCBAF31"/>
    <w:lvl w:ilvl="0" w:tentative="0">
      <w:start w:val="2"/>
      <w:numFmt w:val="chineseCounting"/>
      <w:suff w:val="nothing"/>
      <w:lvlText w:val="%1、"/>
      <w:lvlJc w:val="left"/>
      <w:rPr>
        <w:rFonts w:hint="eastAsia"/>
      </w:rPr>
    </w:lvl>
  </w:abstractNum>
  <w:abstractNum w:abstractNumId="3">
    <w:nsid w:val="BCE95B81"/>
    <w:multiLevelType w:val="singleLevel"/>
    <w:tmpl w:val="BCE95B81"/>
    <w:lvl w:ilvl="0" w:tentative="0">
      <w:start w:val="1"/>
      <w:numFmt w:val="decimal"/>
      <w:suff w:val="nothing"/>
      <w:lvlText w:val="%1、"/>
      <w:lvlJc w:val="left"/>
    </w:lvl>
  </w:abstractNum>
  <w:abstractNum w:abstractNumId="4">
    <w:nsid w:val="D4244EA4"/>
    <w:multiLevelType w:val="singleLevel"/>
    <w:tmpl w:val="D4244EA4"/>
    <w:lvl w:ilvl="0" w:tentative="0">
      <w:start w:val="1"/>
      <w:numFmt w:val="decimal"/>
      <w:lvlText w:val="%1."/>
      <w:lvlJc w:val="left"/>
      <w:pPr>
        <w:tabs>
          <w:tab w:val="left" w:pos="312"/>
        </w:tabs>
      </w:pPr>
    </w:lvl>
  </w:abstractNum>
  <w:abstractNum w:abstractNumId="5">
    <w:nsid w:val="E6323028"/>
    <w:multiLevelType w:val="singleLevel"/>
    <w:tmpl w:val="E6323028"/>
    <w:lvl w:ilvl="0" w:tentative="0">
      <w:start w:val="1"/>
      <w:numFmt w:val="decimal"/>
      <w:lvlText w:val="%1."/>
      <w:lvlJc w:val="left"/>
      <w:pPr>
        <w:tabs>
          <w:tab w:val="left" w:pos="312"/>
        </w:tabs>
      </w:pPr>
    </w:lvl>
  </w:abstractNum>
  <w:abstractNum w:abstractNumId="6">
    <w:nsid w:val="E76557BB"/>
    <w:multiLevelType w:val="singleLevel"/>
    <w:tmpl w:val="E76557BB"/>
    <w:lvl w:ilvl="0" w:tentative="0">
      <w:start w:val="3"/>
      <w:numFmt w:val="decimal"/>
      <w:lvlText w:val="%1."/>
      <w:lvlJc w:val="left"/>
      <w:pPr>
        <w:tabs>
          <w:tab w:val="left" w:pos="312"/>
        </w:tabs>
      </w:pPr>
    </w:lvl>
  </w:abstractNum>
  <w:abstractNum w:abstractNumId="7">
    <w:nsid w:val="F66D84CD"/>
    <w:multiLevelType w:val="singleLevel"/>
    <w:tmpl w:val="F66D84CD"/>
    <w:lvl w:ilvl="0" w:tentative="0">
      <w:start w:val="1"/>
      <w:numFmt w:val="decimal"/>
      <w:suff w:val="nothing"/>
      <w:lvlText w:val="%1、"/>
      <w:lvlJc w:val="left"/>
    </w:lvl>
  </w:abstractNum>
  <w:abstractNum w:abstractNumId="8">
    <w:nsid w:val="FD972F48"/>
    <w:multiLevelType w:val="singleLevel"/>
    <w:tmpl w:val="FD972F48"/>
    <w:lvl w:ilvl="0" w:tentative="0">
      <w:start w:val="1"/>
      <w:numFmt w:val="decimal"/>
      <w:lvlText w:val="%1."/>
      <w:lvlJc w:val="left"/>
      <w:pPr>
        <w:tabs>
          <w:tab w:val="left" w:pos="312"/>
        </w:tabs>
      </w:pPr>
    </w:lvl>
  </w:abstractNum>
  <w:abstractNum w:abstractNumId="9">
    <w:nsid w:val="34422E15"/>
    <w:multiLevelType w:val="singleLevel"/>
    <w:tmpl w:val="34422E15"/>
    <w:lvl w:ilvl="0" w:tentative="0">
      <w:start w:val="1"/>
      <w:numFmt w:val="decimal"/>
      <w:lvlText w:val="%1."/>
      <w:lvlJc w:val="left"/>
      <w:pPr>
        <w:tabs>
          <w:tab w:val="left" w:pos="312"/>
        </w:tabs>
      </w:pPr>
    </w:lvl>
  </w:abstractNum>
  <w:abstractNum w:abstractNumId="10">
    <w:nsid w:val="3A496EE3"/>
    <w:multiLevelType w:val="singleLevel"/>
    <w:tmpl w:val="3A496EE3"/>
    <w:lvl w:ilvl="0" w:tentative="0">
      <w:start w:val="1"/>
      <w:numFmt w:val="decimal"/>
      <w:lvlText w:val="%1."/>
      <w:lvlJc w:val="left"/>
      <w:pPr>
        <w:tabs>
          <w:tab w:val="left" w:pos="312"/>
        </w:tabs>
      </w:pPr>
    </w:lvl>
  </w:abstractNum>
  <w:abstractNum w:abstractNumId="11">
    <w:nsid w:val="543CC17F"/>
    <w:multiLevelType w:val="singleLevel"/>
    <w:tmpl w:val="543CC17F"/>
    <w:lvl w:ilvl="0" w:tentative="0">
      <w:start w:val="1"/>
      <w:numFmt w:val="decimal"/>
      <w:lvlText w:val="%1."/>
      <w:lvlJc w:val="left"/>
      <w:pPr>
        <w:tabs>
          <w:tab w:val="left" w:pos="312"/>
        </w:tabs>
      </w:pPr>
    </w:lvl>
  </w:abstractNum>
  <w:abstractNum w:abstractNumId="12">
    <w:nsid w:val="6C6CA887"/>
    <w:multiLevelType w:val="singleLevel"/>
    <w:tmpl w:val="6C6CA887"/>
    <w:lvl w:ilvl="0" w:tentative="0">
      <w:start w:val="1"/>
      <w:numFmt w:val="decimal"/>
      <w:lvlText w:val="%1."/>
      <w:lvlJc w:val="left"/>
      <w:pPr>
        <w:tabs>
          <w:tab w:val="left" w:pos="312"/>
        </w:tabs>
      </w:pPr>
    </w:lvl>
  </w:abstractNum>
  <w:num w:numId="1">
    <w:abstractNumId w:val="6"/>
  </w:num>
  <w:num w:numId="2">
    <w:abstractNumId w:val="4"/>
  </w:num>
  <w:num w:numId="3">
    <w:abstractNumId w:val="5"/>
  </w:num>
  <w:num w:numId="4">
    <w:abstractNumId w:val="11"/>
  </w:num>
  <w:num w:numId="5">
    <w:abstractNumId w:val="1"/>
  </w:num>
  <w:num w:numId="6">
    <w:abstractNumId w:val="7"/>
  </w:num>
  <w:num w:numId="7">
    <w:abstractNumId w:val="2"/>
  </w:num>
  <w:num w:numId="8">
    <w:abstractNumId w:val="12"/>
  </w:num>
  <w:num w:numId="9">
    <w:abstractNumId w:val="8"/>
  </w:num>
  <w:num w:numId="10">
    <w:abstractNumId w:val="0"/>
  </w:num>
  <w:num w:numId="11">
    <w:abstractNumId w:val="9"/>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4A5094"/>
    <w:rsid w:val="00021CEE"/>
    <w:rsid w:val="0002216D"/>
    <w:rsid w:val="0005179A"/>
    <w:rsid w:val="000A4410"/>
    <w:rsid w:val="000A5132"/>
    <w:rsid w:val="000B4B30"/>
    <w:rsid w:val="000C0257"/>
    <w:rsid w:val="000C1654"/>
    <w:rsid w:val="000E01D7"/>
    <w:rsid w:val="00111C0C"/>
    <w:rsid w:val="00133C29"/>
    <w:rsid w:val="00170EF0"/>
    <w:rsid w:val="00176594"/>
    <w:rsid w:val="001B2415"/>
    <w:rsid w:val="001C2357"/>
    <w:rsid w:val="001C5121"/>
    <w:rsid w:val="001E0B23"/>
    <w:rsid w:val="0025143C"/>
    <w:rsid w:val="00270879"/>
    <w:rsid w:val="002919DE"/>
    <w:rsid w:val="002A6BA9"/>
    <w:rsid w:val="002C1CA9"/>
    <w:rsid w:val="002C398D"/>
    <w:rsid w:val="003326C2"/>
    <w:rsid w:val="00340A36"/>
    <w:rsid w:val="0037257A"/>
    <w:rsid w:val="00391BF0"/>
    <w:rsid w:val="003A7D16"/>
    <w:rsid w:val="003D4914"/>
    <w:rsid w:val="003E103B"/>
    <w:rsid w:val="00406199"/>
    <w:rsid w:val="0045282C"/>
    <w:rsid w:val="00465221"/>
    <w:rsid w:val="004918E1"/>
    <w:rsid w:val="004A05B2"/>
    <w:rsid w:val="004E1761"/>
    <w:rsid w:val="004E2F84"/>
    <w:rsid w:val="004F5D53"/>
    <w:rsid w:val="00515A5F"/>
    <w:rsid w:val="00535276"/>
    <w:rsid w:val="0057128F"/>
    <w:rsid w:val="005B5F7C"/>
    <w:rsid w:val="005C49EA"/>
    <w:rsid w:val="005D39A6"/>
    <w:rsid w:val="005E48E9"/>
    <w:rsid w:val="00601149"/>
    <w:rsid w:val="006123A2"/>
    <w:rsid w:val="00644DAD"/>
    <w:rsid w:val="00663F15"/>
    <w:rsid w:val="0067675A"/>
    <w:rsid w:val="0068413C"/>
    <w:rsid w:val="00695397"/>
    <w:rsid w:val="006D2091"/>
    <w:rsid w:val="006D4A6C"/>
    <w:rsid w:val="0072150C"/>
    <w:rsid w:val="0073544D"/>
    <w:rsid w:val="00735C71"/>
    <w:rsid w:val="007737C0"/>
    <w:rsid w:val="007C2349"/>
    <w:rsid w:val="007E67DF"/>
    <w:rsid w:val="007F483B"/>
    <w:rsid w:val="0084176D"/>
    <w:rsid w:val="008846C0"/>
    <w:rsid w:val="008A684D"/>
    <w:rsid w:val="008B1D16"/>
    <w:rsid w:val="008D3E42"/>
    <w:rsid w:val="008D7AA9"/>
    <w:rsid w:val="008F28A5"/>
    <w:rsid w:val="00931B4D"/>
    <w:rsid w:val="00937F6C"/>
    <w:rsid w:val="00944A4F"/>
    <w:rsid w:val="009545EF"/>
    <w:rsid w:val="00991B92"/>
    <w:rsid w:val="009B54AD"/>
    <w:rsid w:val="009C5037"/>
    <w:rsid w:val="009F5DC2"/>
    <w:rsid w:val="00A00153"/>
    <w:rsid w:val="00A26C1B"/>
    <w:rsid w:val="00A27023"/>
    <w:rsid w:val="00A30348"/>
    <w:rsid w:val="00A46A3F"/>
    <w:rsid w:val="00A5262F"/>
    <w:rsid w:val="00A817C1"/>
    <w:rsid w:val="00A8281D"/>
    <w:rsid w:val="00AD67DC"/>
    <w:rsid w:val="00AF064F"/>
    <w:rsid w:val="00B20208"/>
    <w:rsid w:val="00B44157"/>
    <w:rsid w:val="00B508E0"/>
    <w:rsid w:val="00B61FBC"/>
    <w:rsid w:val="00B771C4"/>
    <w:rsid w:val="00B77B30"/>
    <w:rsid w:val="00B825A7"/>
    <w:rsid w:val="00B923BF"/>
    <w:rsid w:val="00BA0C53"/>
    <w:rsid w:val="00BB28AF"/>
    <w:rsid w:val="00BC71ED"/>
    <w:rsid w:val="00BE365A"/>
    <w:rsid w:val="00BF569E"/>
    <w:rsid w:val="00C22DB2"/>
    <w:rsid w:val="00C32B93"/>
    <w:rsid w:val="00C74A08"/>
    <w:rsid w:val="00C85BF6"/>
    <w:rsid w:val="00CA4F32"/>
    <w:rsid w:val="00CD6682"/>
    <w:rsid w:val="00CE1380"/>
    <w:rsid w:val="00CE41ED"/>
    <w:rsid w:val="00D214E8"/>
    <w:rsid w:val="00DB6F6D"/>
    <w:rsid w:val="00DC4985"/>
    <w:rsid w:val="00DC59D3"/>
    <w:rsid w:val="00DD1026"/>
    <w:rsid w:val="00DE0212"/>
    <w:rsid w:val="00DE029B"/>
    <w:rsid w:val="00DE667F"/>
    <w:rsid w:val="00E45D4F"/>
    <w:rsid w:val="00E61E53"/>
    <w:rsid w:val="00E76EC1"/>
    <w:rsid w:val="00EB5ED3"/>
    <w:rsid w:val="00EC43EE"/>
    <w:rsid w:val="00ED320D"/>
    <w:rsid w:val="00EF4849"/>
    <w:rsid w:val="00F25D76"/>
    <w:rsid w:val="00FB657C"/>
    <w:rsid w:val="00FC0CAB"/>
    <w:rsid w:val="00FF11F8"/>
    <w:rsid w:val="00FF1824"/>
    <w:rsid w:val="017F495C"/>
    <w:rsid w:val="020247CD"/>
    <w:rsid w:val="02F01472"/>
    <w:rsid w:val="02FB0779"/>
    <w:rsid w:val="03141C8D"/>
    <w:rsid w:val="031D2511"/>
    <w:rsid w:val="033F5CAD"/>
    <w:rsid w:val="035A3138"/>
    <w:rsid w:val="039470E3"/>
    <w:rsid w:val="03B35207"/>
    <w:rsid w:val="03BB2758"/>
    <w:rsid w:val="03F1489B"/>
    <w:rsid w:val="044B49B1"/>
    <w:rsid w:val="05430635"/>
    <w:rsid w:val="060836ED"/>
    <w:rsid w:val="061F472A"/>
    <w:rsid w:val="066C537A"/>
    <w:rsid w:val="06864E11"/>
    <w:rsid w:val="06874EA3"/>
    <w:rsid w:val="06C610DF"/>
    <w:rsid w:val="06EC48B7"/>
    <w:rsid w:val="06F411A4"/>
    <w:rsid w:val="06F87F66"/>
    <w:rsid w:val="07106E4E"/>
    <w:rsid w:val="071308A3"/>
    <w:rsid w:val="0715469F"/>
    <w:rsid w:val="071641FE"/>
    <w:rsid w:val="071E250C"/>
    <w:rsid w:val="07627BCE"/>
    <w:rsid w:val="0775629B"/>
    <w:rsid w:val="07A16EB3"/>
    <w:rsid w:val="07C675B6"/>
    <w:rsid w:val="081C6EED"/>
    <w:rsid w:val="084C5F10"/>
    <w:rsid w:val="08630D43"/>
    <w:rsid w:val="090D2656"/>
    <w:rsid w:val="09D36E0B"/>
    <w:rsid w:val="0A3B353B"/>
    <w:rsid w:val="0AB728BE"/>
    <w:rsid w:val="0ABD6DB3"/>
    <w:rsid w:val="0ACD11D2"/>
    <w:rsid w:val="0AE7095F"/>
    <w:rsid w:val="0B0C179A"/>
    <w:rsid w:val="0B130D03"/>
    <w:rsid w:val="0B910CF8"/>
    <w:rsid w:val="0BA54D89"/>
    <w:rsid w:val="0C071ADB"/>
    <w:rsid w:val="0C211840"/>
    <w:rsid w:val="0C2A38C8"/>
    <w:rsid w:val="0C4801A1"/>
    <w:rsid w:val="0C4B1FEC"/>
    <w:rsid w:val="0C8A7579"/>
    <w:rsid w:val="0D071C74"/>
    <w:rsid w:val="0D2D331C"/>
    <w:rsid w:val="0D773D64"/>
    <w:rsid w:val="0D9941C9"/>
    <w:rsid w:val="0D9D3874"/>
    <w:rsid w:val="0DAC0F94"/>
    <w:rsid w:val="0DB5239D"/>
    <w:rsid w:val="0E14628E"/>
    <w:rsid w:val="0E2E7EE1"/>
    <w:rsid w:val="0E340354"/>
    <w:rsid w:val="0E413F9E"/>
    <w:rsid w:val="0EF12453"/>
    <w:rsid w:val="0F4C4E05"/>
    <w:rsid w:val="0F5252BE"/>
    <w:rsid w:val="0F794234"/>
    <w:rsid w:val="0F83405C"/>
    <w:rsid w:val="0FAB36CC"/>
    <w:rsid w:val="101E4771"/>
    <w:rsid w:val="104141FF"/>
    <w:rsid w:val="104F1FF5"/>
    <w:rsid w:val="10543DCC"/>
    <w:rsid w:val="10CC587F"/>
    <w:rsid w:val="111C5D99"/>
    <w:rsid w:val="113D4A7D"/>
    <w:rsid w:val="11D44EFB"/>
    <w:rsid w:val="11EB5A37"/>
    <w:rsid w:val="11EC05B5"/>
    <w:rsid w:val="12FF2FC7"/>
    <w:rsid w:val="132066E3"/>
    <w:rsid w:val="13AD7EDB"/>
    <w:rsid w:val="14055F54"/>
    <w:rsid w:val="14451A7A"/>
    <w:rsid w:val="14694A91"/>
    <w:rsid w:val="14993680"/>
    <w:rsid w:val="155F5C77"/>
    <w:rsid w:val="157433EC"/>
    <w:rsid w:val="158E0A3E"/>
    <w:rsid w:val="167B6A30"/>
    <w:rsid w:val="167F775B"/>
    <w:rsid w:val="169354EB"/>
    <w:rsid w:val="17114CAA"/>
    <w:rsid w:val="17A2097E"/>
    <w:rsid w:val="17D72570"/>
    <w:rsid w:val="18280027"/>
    <w:rsid w:val="18BF2805"/>
    <w:rsid w:val="18CA0836"/>
    <w:rsid w:val="18FE0EF8"/>
    <w:rsid w:val="19241D2C"/>
    <w:rsid w:val="196D7F9A"/>
    <w:rsid w:val="19704954"/>
    <w:rsid w:val="198C247E"/>
    <w:rsid w:val="19C132CF"/>
    <w:rsid w:val="1A136D08"/>
    <w:rsid w:val="1A5B590B"/>
    <w:rsid w:val="1A5C1EEE"/>
    <w:rsid w:val="1AC3339A"/>
    <w:rsid w:val="1AC80B56"/>
    <w:rsid w:val="1B0412D7"/>
    <w:rsid w:val="1B631A1D"/>
    <w:rsid w:val="1C76390F"/>
    <w:rsid w:val="1CB5371C"/>
    <w:rsid w:val="1CBB774D"/>
    <w:rsid w:val="1CDD2940"/>
    <w:rsid w:val="1D2B513F"/>
    <w:rsid w:val="1E434D23"/>
    <w:rsid w:val="1E5110AD"/>
    <w:rsid w:val="1E5F5C62"/>
    <w:rsid w:val="1E7F4467"/>
    <w:rsid w:val="1E941C7B"/>
    <w:rsid w:val="1E9843FA"/>
    <w:rsid w:val="1EF3548C"/>
    <w:rsid w:val="1EF429FF"/>
    <w:rsid w:val="1F151EB9"/>
    <w:rsid w:val="1F482428"/>
    <w:rsid w:val="1F5A2CF8"/>
    <w:rsid w:val="1FCF4C4D"/>
    <w:rsid w:val="20433294"/>
    <w:rsid w:val="2064043C"/>
    <w:rsid w:val="20675D6D"/>
    <w:rsid w:val="20785D84"/>
    <w:rsid w:val="20911B98"/>
    <w:rsid w:val="20AB4B54"/>
    <w:rsid w:val="20F50212"/>
    <w:rsid w:val="21A146E8"/>
    <w:rsid w:val="21AC08CB"/>
    <w:rsid w:val="21AF1707"/>
    <w:rsid w:val="220442F0"/>
    <w:rsid w:val="22124A3D"/>
    <w:rsid w:val="22245384"/>
    <w:rsid w:val="225869CA"/>
    <w:rsid w:val="22AD4A0B"/>
    <w:rsid w:val="22BE40A3"/>
    <w:rsid w:val="22F8748B"/>
    <w:rsid w:val="23172A80"/>
    <w:rsid w:val="232D00C1"/>
    <w:rsid w:val="232F07B2"/>
    <w:rsid w:val="233C1C9E"/>
    <w:rsid w:val="233C67AB"/>
    <w:rsid w:val="235B486F"/>
    <w:rsid w:val="23AE58B1"/>
    <w:rsid w:val="23FF5C91"/>
    <w:rsid w:val="24054073"/>
    <w:rsid w:val="244F4457"/>
    <w:rsid w:val="24DE7CD8"/>
    <w:rsid w:val="24DF7EB0"/>
    <w:rsid w:val="25243E40"/>
    <w:rsid w:val="25562B45"/>
    <w:rsid w:val="25B16EB3"/>
    <w:rsid w:val="25E33CE7"/>
    <w:rsid w:val="2606602D"/>
    <w:rsid w:val="2608506C"/>
    <w:rsid w:val="263629E0"/>
    <w:rsid w:val="264662FB"/>
    <w:rsid w:val="26506476"/>
    <w:rsid w:val="26A57630"/>
    <w:rsid w:val="26B00E79"/>
    <w:rsid w:val="270E031B"/>
    <w:rsid w:val="27313E65"/>
    <w:rsid w:val="285642AB"/>
    <w:rsid w:val="28BD6603"/>
    <w:rsid w:val="28D932A5"/>
    <w:rsid w:val="290C5A21"/>
    <w:rsid w:val="29195B28"/>
    <w:rsid w:val="292D02ED"/>
    <w:rsid w:val="2939090D"/>
    <w:rsid w:val="2972406F"/>
    <w:rsid w:val="29A6499D"/>
    <w:rsid w:val="29E02389"/>
    <w:rsid w:val="29F525F1"/>
    <w:rsid w:val="2A2652F3"/>
    <w:rsid w:val="2A863B30"/>
    <w:rsid w:val="2AB3018D"/>
    <w:rsid w:val="2B0929B1"/>
    <w:rsid w:val="2B774BC5"/>
    <w:rsid w:val="2B9C0389"/>
    <w:rsid w:val="2BFC2EF2"/>
    <w:rsid w:val="2C4E00C6"/>
    <w:rsid w:val="2C8E5162"/>
    <w:rsid w:val="2C9D2E52"/>
    <w:rsid w:val="2CD07C0C"/>
    <w:rsid w:val="2D4E1561"/>
    <w:rsid w:val="2D7113E4"/>
    <w:rsid w:val="2D7A6FE7"/>
    <w:rsid w:val="2DB21C96"/>
    <w:rsid w:val="2DBC0DBC"/>
    <w:rsid w:val="2E135921"/>
    <w:rsid w:val="2E701F3B"/>
    <w:rsid w:val="2ED75AE1"/>
    <w:rsid w:val="2FA24BF5"/>
    <w:rsid w:val="2FAE5329"/>
    <w:rsid w:val="30554EC1"/>
    <w:rsid w:val="305F1667"/>
    <w:rsid w:val="309B2842"/>
    <w:rsid w:val="30F02DAD"/>
    <w:rsid w:val="311146A1"/>
    <w:rsid w:val="311375BA"/>
    <w:rsid w:val="31577DD6"/>
    <w:rsid w:val="31865A4D"/>
    <w:rsid w:val="320159DF"/>
    <w:rsid w:val="32194B9D"/>
    <w:rsid w:val="323D17C4"/>
    <w:rsid w:val="333A506C"/>
    <w:rsid w:val="33727C3E"/>
    <w:rsid w:val="33794714"/>
    <w:rsid w:val="33C47B12"/>
    <w:rsid w:val="33D65DA8"/>
    <w:rsid w:val="34075421"/>
    <w:rsid w:val="358C3C00"/>
    <w:rsid w:val="3598223C"/>
    <w:rsid w:val="35A60B1B"/>
    <w:rsid w:val="35CD2349"/>
    <w:rsid w:val="35E46CE2"/>
    <w:rsid w:val="36270C0D"/>
    <w:rsid w:val="366A6327"/>
    <w:rsid w:val="366A7C67"/>
    <w:rsid w:val="367A7FC0"/>
    <w:rsid w:val="36AC2464"/>
    <w:rsid w:val="36C40A6D"/>
    <w:rsid w:val="36D93361"/>
    <w:rsid w:val="3701031A"/>
    <w:rsid w:val="37233C0E"/>
    <w:rsid w:val="37A90243"/>
    <w:rsid w:val="37CB734D"/>
    <w:rsid w:val="38072438"/>
    <w:rsid w:val="384A5094"/>
    <w:rsid w:val="38554007"/>
    <w:rsid w:val="38CE6AED"/>
    <w:rsid w:val="39780F5E"/>
    <w:rsid w:val="399E46EA"/>
    <w:rsid w:val="39E86B43"/>
    <w:rsid w:val="3A093264"/>
    <w:rsid w:val="3A272E93"/>
    <w:rsid w:val="3AB520A6"/>
    <w:rsid w:val="3AD2009B"/>
    <w:rsid w:val="3AE161CF"/>
    <w:rsid w:val="3B1B5A9D"/>
    <w:rsid w:val="3B235BAA"/>
    <w:rsid w:val="3B3C5020"/>
    <w:rsid w:val="3B8C27C4"/>
    <w:rsid w:val="3BE57508"/>
    <w:rsid w:val="3BEB08EC"/>
    <w:rsid w:val="3C054A46"/>
    <w:rsid w:val="3C265BE9"/>
    <w:rsid w:val="3C373FF6"/>
    <w:rsid w:val="3C4C2FF5"/>
    <w:rsid w:val="3C76528B"/>
    <w:rsid w:val="3C8D5224"/>
    <w:rsid w:val="3C9E2AE7"/>
    <w:rsid w:val="3CC113B1"/>
    <w:rsid w:val="3CF165A3"/>
    <w:rsid w:val="3D066D3F"/>
    <w:rsid w:val="3D8D50BD"/>
    <w:rsid w:val="3D90707E"/>
    <w:rsid w:val="3D9310DA"/>
    <w:rsid w:val="3DB44B76"/>
    <w:rsid w:val="3DC77898"/>
    <w:rsid w:val="3E072C53"/>
    <w:rsid w:val="3E2E2438"/>
    <w:rsid w:val="3E357544"/>
    <w:rsid w:val="3ED20E8F"/>
    <w:rsid w:val="3EE95811"/>
    <w:rsid w:val="3F1D7A26"/>
    <w:rsid w:val="3F3C0030"/>
    <w:rsid w:val="3F6332C8"/>
    <w:rsid w:val="3F7F0275"/>
    <w:rsid w:val="3FAC5C7B"/>
    <w:rsid w:val="3FD05725"/>
    <w:rsid w:val="4000442F"/>
    <w:rsid w:val="400B1FA8"/>
    <w:rsid w:val="40371857"/>
    <w:rsid w:val="40423B79"/>
    <w:rsid w:val="4083054F"/>
    <w:rsid w:val="408C50EE"/>
    <w:rsid w:val="40F81F32"/>
    <w:rsid w:val="412D4FFE"/>
    <w:rsid w:val="414849AB"/>
    <w:rsid w:val="41EB3A70"/>
    <w:rsid w:val="42896655"/>
    <w:rsid w:val="42953CC1"/>
    <w:rsid w:val="42CD62EC"/>
    <w:rsid w:val="4302632D"/>
    <w:rsid w:val="43414870"/>
    <w:rsid w:val="4360466B"/>
    <w:rsid w:val="43813B1C"/>
    <w:rsid w:val="4421000F"/>
    <w:rsid w:val="442C6980"/>
    <w:rsid w:val="44580617"/>
    <w:rsid w:val="4486222D"/>
    <w:rsid w:val="44C04C4D"/>
    <w:rsid w:val="44CF10ED"/>
    <w:rsid w:val="44E31145"/>
    <w:rsid w:val="456F453D"/>
    <w:rsid w:val="457A40FE"/>
    <w:rsid w:val="460C20C7"/>
    <w:rsid w:val="467147A2"/>
    <w:rsid w:val="473432A3"/>
    <w:rsid w:val="47562B5E"/>
    <w:rsid w:val="476F464A"/>
    <w:rsid w:val="479B1EA0"/>
    <w:rsid w:val="479E03A8"/>
    <w:rsid w:val="47DF48DB"/>
    <w:rsid w:val="47ED5BD7"/>
    <w:rsid w:val="489B45CF"/>
    <w:rsid w:val="49566BEE"/>
    <w:rsid w:val="49D42F19"/>
    <w:rsid w:val="4B1B037F"/>
    <w:rsid w:val="4B5C2788"/>
    <w:rsid w:val="4B645999"/>
    <w:rsid w:val="4B6748B2"/>
    <w:rsid w:val="4B7C7E11"/>
    <w:rsid w:val="4BAF48B6"/>
    <w:rsid w:val="4BB50CDD"/>
    <w:rsid w:val="4BEB5190"/>
    <w:rsid w:val="4C3B1020"/>
    <w:rsid w:val="4C743018"/>
    <w:rsid w:val="4C7474E4"/>
    <w:rsid w:val="4CF1002F"/>
    <w:rsid w:val="4D2F0A85"/>
    <w:rsid w:val="4D553340"/>
    <w:rsid w:val="4DA24960"/>
    <w:rsid w:val="4E1844A6"/>
    <w:rsid w:val="4E2466FD"/>
    <w:rsid w:val="4E2E0EC9"/>
    <w:rsid w:val="4E5B326A"/>
    <w:rsid w:val="4E8732DE"/>
    <w:rsid w:val="4F694302"/>
    <w:rsid w:val="4F8E47FF"/>
    <w:rsid w:val="4F94040A"/>
    <w:rsid w:val="4FA20A25"/>
    <w:rsid w:val="4FB12B10"/>
    <w:rsid w:val="4FB71886"/>
    <w:rsid w:val="4FBC4105"/>
    <w:rsid w:val="501E4E10"/>
    <w:rsid w:val="50592022"/>
    <w:rsid w:val="50F15923"/>
    <w:rsid w:val="511E5D5D"/>
    <w:rsid w:val="5198615E"/>
    <w:rsid w:val="51F759AC"/>
    <w:rsid w:val="52363FFA"/>
    <w:rsid w:val="52486196"/>
    <w:rsid w:val="526E79AC"/>
    <w:rsid w:val="52913BDA"/>
    <w:rsid w:val="52A840DE"/>
    <w:rsid w:val="53470EFB"/>
    <w:rsid w:val="534742E4"/>
    <w:rsid w:val="54072710"/>
    <w:rsid w:val="545A3D9E"/>
    <w:rsid w:val="54E11603"/>
    <w:rsid w:val="54E271C7"/>
    <w:rsid w:val="54EA07A1"/>
    <w:rsid w:val="55036B36"/>
    <w:rsid w:val="550B4D7B"/>
    <w:rsid w:val="55A16D96"/>
    <w:rsid w:val="56240D57"/>
    <w:rsid w:val="562F6752"/>
    <w:rsid w:val="564F6FEA"/>
    <w:rsid w:val="56ED233C"/>
    <w:rsid w:val="56F7200D"/>
    <w:rsid w:val="57072D2C"/>
    <w:rsid w:val="57181B37"/>
    <w:rsid w:val="57360934"/>
    <w:rsid w:val="573A7C20"/>
    <w:rsid w:val="575E3FDA"/>
    <w:rsid w:val="575F3DB0"/>
    <w:rsid w:val="57AF6BCD"/>
    <w:rsid w:val="57CB3743"/>
    <w:rsid w:val="57E67AA8"/>
    <w:rsid w:val="58062F55"/>
    <w:rsid w:val="584C3907"/>
    <w:rsid w:val="587C07C8"/>
    <w:rsid w:val="596E377C"/>
    <w:rsid w:val="59B86C88"/>
    <w:rsid w:val="5AAE55AA"/>
    <w:rsid w:val="5B024BA1"/>
    <w:rsid w:val="5B0E773C"/>
    <w:rsid w:val="5BD76976"/>
    <w:rsid w:val="5C975862"/>
    <w:rsid w:val="5C982BED"/>
    <w:rsid w:val="5D326715"/>
    <w:rsid w:val="5D603DD8"/>
    <w:rsid w:val="5DA8018A"/>
    <w:rsid w:val="5DAE6B71"/>
    <w:rsid w:val="5DE477A6"/>
    <w:rsid w:val="5E2B1832"/>
    <w:rsid w:val="5E3C0DB7"/>
    <w:rsid w:val="5E944DCC"/>
    <w:rsid w:val="5ECE25BE"/>
    <w:rsid w:val="5F0F1072"/>
    <w:rsid w:val="5F54475C"/>
    <w:rsid w:val="5F675A67"/>
    <w:rsid w:val="5F82467C"/>
    <w:rsid w:val="5F8B4CD0"/>
    <w:rsid w:val="600F7AB7"/>
    <w:rsid w:val="60181C51"/>
    <w:rsid w:val="60A30516"/>
    <w:rsid w:val="60D20EA8"/>
    <w:rsid w:val="60DB314C"/>
    <w:rsid w:val="60E51998"/>
    <w:rsid w:val="60EE67D4"/>
    <w:rsid w:val="60FF3360"/>
    <w:rsid w:val="61121EA1"/>
    <w:rsid w:val="61224926"/>
    <w:rsid w:val="613E0497"/>
    <w:rsid w:val="615303C2"/>
    <w:rsid w:val="61560B19"/>
    <w:rsid w:val="618A6D60"/>
    <w:rsid w:val="61975706"/>
    <w:rsid w:val="61A30DE1"/>
    <w:rsid w:val="620C4B3E"/>
    <w:rsid w:val="622D1CC4"/>
    <w:rsid w:val="62591460"/>
    <w:rsid w:val="62666A80"/>
    <w:rsid w:val="627365E7"/>
    <w:rsid w:val="629F0D55"/>
    <w:rsid w:val="62E840D9"/>
    <w:rsid w:val="635675C8"/>
    <w:rsid w:val="63B3506F"/>
    <w:rsid w:val="63E04618"/>
    <w:rsid w:val="64347AAC"/>
    <w:rsid w:val="64783CCB"/>
    <w:rsid w:val="64BC711A"/>
    <w:rsid w:val="650411B7"/>
    <w:rsid w:val="650525DE"/>
    <w:rsid w:val="65402767"/>
    <w:rsid w:val="657D5914"/>
    <w:rsid w:val="659E2A8F"/>
    <w:rsid w:val="6656509A"/>
    <w:rsid w:val="66AC6A98"/>
    <w:rsid w:val="67064C9F"/>
    <w:rsid w:val="67336D65"/>
    <w:rsid w:val="67F02136"/>
    <w:rsid w:val="68663726"/>
    <w:rsid w:val="68F760E2"/>
    <w:rsid w:val="699500CF"/>
    <w:rsid w:val="69E255A8"/>
    <w:rsid w:val="6A5C0B62"/>
    <w:rsid w:val="6A824826"/>
    <w:rsid w:val="6ABB6099"/>
    <w:rsid w:val="6B764A99"/>
    <w:rsid w:val="6BB13944"/>
    <w:rsid w:val="6BD00CF5"/>
    <w:rsid w:val="6C410265"/>
    <w:rsid w:val="6C5F0F02"/>
    <w:rsid w:val="6C786649"/>
    <w:rsid w:val="6CCD1941"/>
    <w:rsid w:val="6D181FE4"/>
    <w:rsid w:val="6D2C1D84"/>
    <w:rsid w:val="6D602BEC"/>
    <w:rsid w:val="6D9A30F7"/>
    <w:rsid w:val="6DAA3701"/>
    <w:rsid w:val="6E8B7B8C"/>
    <w:rsid w:val="6EB248FB"/>
    <w:rsid w:val="6EF0262A"/>
    <w:rsid w:val="6EF87C72"/>
    <w:rsid w:val="6F156912"/>
    <w:rsid w:val="6F166A05"/>
    <w:rsid w:val="6F9661D5"/>
    <w:rsid w:val="6FD92666"/>
    <w:rsid w:val="707A0C3E"/>
    <w:rsid w:val="707C6444"/>
    <w:rsid w:val="7093298C"/>
    <w:rsid w:val="70A670D5"/>
    <w:rsid w:val="70F2107E"/>
    <w:rsid w:val="7104723C"/>
    <w:rsid w:val="710937F7"/>
    <w:rsid w:val="712F51CA"/>
    <w:rsid w:val="7146797C"/>
    <w:rsid w:val="717932A0"/>
    <w:rsid w:val="718E079B"/>
    <w:rsid w:val="71940584"/>
    <w:rsid w:val="71D95572"/>
    <w:rsid w:val="71E76242"/>
    <w:rsid w:val="721F5D84"/>
    <w:rsid w:val="727A6A1B"/>
    <w:rsid w:val="72800CFA"/>
    <w:rsid w:val="72913C7C"/>
    <w:rsid w:val="72B13B3C"/>
    <w:rsid w:val="72D65D5B"/>
    <w:rsid w:val="73250D55"/>
    <w:rsid w:val="73287C32"/>
    <w:rsid w:val="732E382E"/>
    <w:rsid w:val="73404622"/>
    <w:rsid w:val="736D2A20"/>
    <w:rsid w:val="73706A9E"/>
    <w:rsid w:val="738F23F3"/>
    <w:rsid w:val="73FF0825"/>
    <w:rsid w:val="74853171"/>
    <w:rsid w:val="74D40C77"/>
    <w:rsid w:val="75291A75"/>
    <w:rsid w:val="75854B36"/>
    <w:rsid w:val="759D57B9"/>
    <w:rsid w:val="75C950A4"/>
    <w:rsid w:val="75DA310D"/>
    <w:rsid w:val="75EB573A"/>
    <w:rsid w:val="765E44FC"/>
    <w:rsid w:val="7681545C"/>
    <w:rsid w:val="771F5308"/>
    <w:rsid w:val="77280C42"/>
    <w:rsid w:val="77CE4DF8"/>
    <w:rsid w:val="78B66BFA"/>
    <w:rsid w:val="78BB06E4"/>
    <w:rsid w:val="78E87D4F"/>
    <w:rsid w:val="791751FC"/>
    <w:rsid w:val="7939408E"/>
    <w:rsid w:val="7993630A"/>
    <w:rsid w:val="799A52D6"/>
    <w:rsid w:val="79D6261E"/>
    <w:rsid w:val="79FD152D"/>
    <w:rsid w:val="79FD518A"/>
    <w:rsid w:val="7A28442D"/>
    <w:rsid w:val="7A404917"/>
    <w:rsid w:val="7A473C08"/>
    <w:rsid w:val="7A906029"/>
    <w:rsid w:val="7A966CB3"/>
    <w:rsid w:val="7A976748"/>
    <w:rsid w:val="7AB50F94"/>
    <w:rsid w:val="7ADE5E49"/>
    <w:rsid w:val="7B991C93"/>
    <w:rsid w:val="7BDD7769"/>
    <w:rsid w:val="7BEF2CDC"/>
    <w:rsid w:val="7C270AA9"/>
    <w:rsid w:val="7C834ED8"/>
    <w:rsid w:val="7C9E1CC5"/>
    <w:rsid w:val="7D415FCD"/>
    <w:rsid w:val="7D6E37EC"/>
    <w:rsid w:val="7DC83831"/>
    <w:rsid w:val="7E321737"/>
    <w:rsid w:val="7E4D77C7"/>
    <w:rsid w:val="7E5B3251"/>
    <w:rsid w:val="7E9470F3"/>
    <w:rsid w:val="7EA566B2"/>
    <w:rsid w:val="7EAD59DC"/>
    <w:rsid w:val="7EC66D69"/>
    <w:rsid w:val="7ED625B2"/>
    <w:rsid w:val="7EF244B4"/>
    <w:rsid w:val="7F045E05"/>
    <w:rsid w:val="7F18434C"/>
    <w:rsid w:val="7F2744FF"/>
    <w:rsid w:val="7F861293"/>
    <w:rsid w:val="7FB873FF"/>
    <w:rsid w:val="7FD37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firstLine="420" w:firstLineChars="200"/>
    </w:pPr>
    <w:rPr>
      <w:rFonts w:ascii="Calibri" w:hAnsi="Calibri"/>
      <w:szCs w:val="22"/>
    </w:rPr>
  </w:style>
  <w:style w:type="paragraph" w:customStyle="1" w:styleId="9">
    <w:name w:val="_Style 7"/>
    <w:basedOn w:val="1"/>
    <w:next w:val="8"/>
    <w:qFormat/>
    <w:uiPriority w:val="34"/>
    <w:pPr>
      <w:ind w:firstLine="420" w:firstLineChars="200"/>
    </w:pPr>
    <w:rPr>
      <w:rFonts w:ascii="Calibri" w:hAnsi="Calibri" w:eastAsia="宋体" w:cs="Times New Roman"/>
      <w:szCs w:val="22"/>
    </w:rPr>
  </w:style>
  <w:style w:type="character" w:customStyle="1" w:styleId="10">
    <w:name w:val="font11"/>
    <w:basedOn w:val="7"/>
    <w:qFormat/>
    <w:uiPriority w:val="0"/>
    <w:rPr>
      <w:rFonts w:hint="eastAsia" w:ascii="微软雅黑" w:hAnsi="微软雅黑" w:eastAsia="微软雅黑" w:cs="微软雅黑"/>
      <w:color w:val="FF0000"/>
      <w:sz w:val="24"/>
      <w:szCs w:val="24"/>
      <w:u w:val="none"/>
    </w:rPr>
  </w:style>
  <w:style w:type="character" w:customStyle="1" w:styleId="11">
    <w:name w:val="font01"/>
    <w:basedOn w:val="7"/>
    <w:qFormat/>
    <w:uiPriority w:val="0"/>
    <w:rPr>
      <w:rFonts w:hint="eastAsia" w:ascii="微软雅黑" w:hAnsi="微软雅黑" w:eastAsia="微软雅黑" w:cs="微软雅黑"/>
      <w:b/>
      <w:color w:val="0070C0"/>
      <w:sz w:val="24"/>
      <w:szCs w:val="24"/>
      <w:u w:val="none"/>
    </w:rPr>
  </w:style>
  <w:style w:type="character" w:customStyle="1" w:styleId="12">
    <w:name w:val="font21"/>
    <w:basedOn w:val="7"/>
    <w:qFormat/>
    <w:uiPriority w:val="0"/>
    <w:rPr>
      <w:rFonts w:hint="eastAsia" w:ascii="微软雅黑" w:hAnsi="微软雅黑" w:eastAsia="微软雅黑" w:cs="微软雅黑"/>
      <w:b/>
      <w:color w:val="0070C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539</Words>
  <Characters>3076</Characters>
  <Lines>25</Lines>
  <Paragraphs>7</Paragraphs>
  <TotalTime>10</TotalTime>
  <ScaleCrop>false</ScaleCrop>
  <LinksUpToDate>false</LinksUpToDate>
  <CharactersWithSpaces>3608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2017-11-23T04:59:00Z</dcterms:created>
  <dc:creator>林</dc:creator>
  <cp:lastModifiedBy>少年已不年少</cp:lastModifiedBy>
  <dcterms:modified xsi:type="dcterms:W3CDTF">2021-03-15T01:40:41Z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